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8B" w:rsidRDefault="00B13A8B" w:rsidP="00817025">
      <w:pPr>
        <w:jc w:val="center"/>
        <w:rPr>
          <w:b/>
          <w:sz w:val="28"/>
          <w:szCs w:val="28"/>
        </w:rPr>
      </w:pPr>
      <w:bookmarkStart w:id="0" w:name="_GoBack"/>
      <w:bookmarkEnd w:id="0"/>
    </w:p>
    <w:p w:rsidR="00EB3BDB" w:rsidRPr="002F2847" w:rsidRDefault="00817025" w:rsidP="00817025">
      <w:pPr>
        <w:jc w:val="center"/>
        <w:rPr>
          <w:b/>
          <w:sz w:val="28"/>
          <w:szCs w:val="28"/>
        </w:rPr>
      </w:pPr>
      <w:r w:rsidRPr="002F2847">
        <w:rPr>
          <w:b/>
          <w:sz w:val="28"/>
          <w:szCs w:val="28"/>
        </w:rPr>
        <w:t>Second In</w:t>
      </w:r>
      <w:r w:rsidR="009C0676">
        <w:rPr>
          <w:b/>
          <w:sz w:val="28"/>
          <w:szCs w:val="28"/>
        </w:rPr>
        <w:t>novation</w:t>
      </w:r>
      <w:r w:rsidRPr="002F2847">
        <w:rPr>
          <w:b/>
          <w:sz w:val="28"/>
          <w:szCs w:val="28"/>
        </w:rPr>
        <w:t xml:space="preserve"> P</w:t>
      </w:r>
      <w:r w:rsidR="009C0676">
        <w:rPr>
          <w:b/>
          <w:sz w:val="28"/>
          <w:szCs w:val="28"/>
        </w:rPr>
        <w:t>erformance</w:t>
      </w:r>
      <w:r w:rsidRPr="002F2847">
        <w:rPr>
          <w:b/>
          <w:sz w:val="28"/>
          <w:szCs w:val="28"/>
        </w:rPr>
        <w:t xml:space="preserve"> Review of Belarus</w:t>
      </w:r>
    </w:p>
    <w:p w:rsidR="00817025" w:rsidRPr="002F2847" w:rsidRDefault="00817025" w:rsidP="00817025">
      <w:pPr>
        <w:jc w:val="center"/>
        <w:rPr>
          <w:sz w:val="28"/>
          <w:szCs w:val="28"/>
          <w:u w:val="single"/>
        </w:rPr>
      </w:pPr>
      <w:r w:rsidRPr="002F2847">
        <w:rPr>
          <w:sz w:val="28"/>
          <w:szCs w:val="28"/>
          <w:u w:val="single"/>
        </w:rPr>
        <w:t>Main findings and recommendations</w:t>
      </w:r>
    </w:p>
    <w:p w:rsidR="00AC47E3" w:rsidRPr="00037F51" w:rsidRDefault="002F2847">
      <w:pPr>
        <w:pStyle w:val="11"/>
        <w:rPr>
          <w:rFonts w:asciiTheme="minorHAnsi" w:eastAsiaTheme="minorEastAsia" w:hAnsiTheme="minorHAnsi" w:cstheme="minorHAnsi"/>
          <w:b w:val="0"/>
          <w:bCs w:val="0"/>
          <w:caps w:val="0"/>
          <w:noProof/>
          <w:szCs w:val="22"/>
          <w:lang w:eastAsia="en-GB"/>
        </w:rPr>
      </w:pPr>
      <w:r w:rsidRPr="00AC47E3">
        <w:rPr>
          <w:rFonts w:asciiTheme="minorHAnsi" w:hAnsiTheme="minorHAnsi" w:cstheme="minorHAnsi"/>
          <w:sz w:val="22"/>
          <w:szCs w:val="22"/>
        </w:rPr>
        <w:fldChar w:fldCharType="begin"/>
      </w:r>
      <w:r w:rsidRPr="00AC47E3">
        <w:rPr>
          <w:rFonts w:asciiTheme="minorHAnsi" w:hAnsiTheme="minorHAnsi" w:cstheme="minorHAnsi"/>
          <w:sz w:val="22"/>
          <w:szCs w:val="22"/>
        </w:rPr>
        <w:instrText xml:space="preserve"> TOC \o "3-3" \h \z \t "TOC Heading,1" </w:instrText>
      </w:r>
      <w:r w:rsidRPr="00AC47E3">
        <w:rPr>
          <w:rFonts w:asciiTheme="minorHAnsi" w:hAnsiTheme="minorHAnsi" w:cstheme="minorHAnsi"/>
          <w:sz w:val="22"/>
          <w:szCs w:val="22"/>
        </w:rPr>
        <w:fldChar w:fldCharType="separate"/>
      </w:r>
      <w:hyperlink w:anchor="_Toc455499247" w:history="1">
        <w:r w:rsidR="00FC4864" w:rsidRPr="00037F51">
          <w:rPr>
            <w:rStyle w:val="af"/>
            <w:rFonts w:asciiTheme="minorHAnsi" w:hAnsiTheme="minorHAnsi" w:cstheme="minorHAnsi"/>
            <w:caps w:val="0"/>
            <w:noProof/>
            <w:szCs w:val="22"/>
          </w:rPr>
          <w:t>Chapter 2: policy frameworks, programming and initiatives</w:t>
        </w:r>
        <w:r w:rsidR="00AC47E3" w:rsidRPr="00037F51">
          <w:rPr>
            <w:rFonts w:asciiTheme="minorHAnsi" w:hAnsiTheme="minorHAnsi" w:cstheme="minorHAnsi"/>
            <w:noProof/>
            <w:webHidden/>
            <w:szCs w:val="22"/>
          </w:rPr>
          <w:tab/>
        </w:r>
        <w:r w:rsidR="00AC47E3" w:rsidRPr="00037F51">
          <w:rPr>
            <w:rFonts w:asciiTheme="minorHAnsi" w:hAnsiTheme="minorHAnsi" w:cstheme="minorHAnsi"/>
            <w:noProof/>
            <w:webHidden/>
            <w:szCs w:val="22"/>
          </w:rPr>
          <w:fldChar w:fldCharType="begin"/>
        </w:r>
        <w:r w:rsidR="00AC47E3" w:rsidRPr="00037F51">
          <w:rPr>
            <w:rFonts w:asciiTheme="minorHAnsi" w:hAnsiTheme="minorHAnsi" w:cstheme="minorHAnsi"/>
            <w:noProof/>
            <w:webHidden/>
            <w:szCs w:val="22"/>
          </w:rPr>
          <w:instrText xml:space="preserve"> PAGEREF _Toc455499247 \h </w:instrText>
        </w:r>
        <w:r w:rsidR="00AC47E3" w:rsidRPr="00037F51">
          <w:rPr>
            <w:rFonts w:asciiTheme="minorHAnsi" w:hAnsiTheme="minorHAnsi" w:cstheme="minorHAnsi"/>
            <w:noProof/>
            <w:webHidden/>
            <w:szCs w:val="22"/>
          </w:rPr>
        </w:r>
        <w:r w:rsidR="00AC47E3" w:rsidRPr="00037F51">
          <w:rPr>
            <w:rFonts w:asciiTheme="minorHAnsi" w:hAnsiTheme="minorHAnsi" w:cstheme="minorHAnsi"/>
            <w:noProof/>
            <w:webHidden/>
            <w:szCs w:val="22"/>
          </w:rPr>
          <w:fldChar w:fldCharType="separate"/>
        </w:r>
        <w:r w:rsidR="00D178EF">
          <w:rPr>
            <w:rFonts w:asciiTheme="minorHAnsi" w:hAnsiTheme="minorHAnsi" w:cstheme="minorHAnsi"/>
            <w:noProof/>
            <w:webHidden/>
            <w:szCs w:val="22"/>
          </w:rPr>
          <w:t>1</w:t>
        </w:r>
        <w:r w:rsidR="00AC47E3" w:rsidRPr="00037F51">
          <w:rPr>
            <w:rFonts w:asciiTheme="minorHAnsi" w:hAnsiTheme="minorHAnsi" w:cstheme="minorHAnsi"/>
            <w:noProof/>
            <w:webHidden/>
            <w:szCs w:val="22"/>
          </w:rPr>
          <w:fldChar w:fldCharType="end"/>
        </w:r>
      </w:hyperlink>
    </w:p>
    <w:p w:rsidR="00AC47E3" w:rsidRPr="00037F51" w:rsidRDefault="00944D57">
      <w:pPr>
        <w:pStyle w:val="11"/>
        <w:rPr>
          <w:rFonts w:asciiTheme="minorHAnsi" w:eastAsiaTheme="minorEastAsia" w:hAnsiTheme="minorHAnsi" w:cstheme="minorHAnsi"/>
          <w:b w:val="0"/>
          <w:bCs w:val="0"/>
          <w:caps w:val="0"/>
          <w:noProof/>
          <w:szCs w:val="22"/>
          <w:lang w:eastAsia="en-GB"/>
        </w:rPr>
      </w:pPr>
      <w:hyperlink w:anchor="_Toc455499248" w:history="1">
        <w:r w:rsidR="00037F51" w:rsidRPr="00037F51">
          <w:rPr>
            <w:rStyle w:val="af"/>
            <w:rFonts w:asciiTheme="minorHAnsi" w:hAnsiTheme="minorHAnsi" w:cstheme="minorHAnsi"/>
            <w:caps w:val="0"/>
            <w:noProof/>
            <w:szCs w:val="22"/>
          </w:rPr>
          <w:t xml:space="preserve">Chapter </w:t>
        </w:r>
        <w:r w:rsidR="00FC4864" w:rsidRPr="00037F51">
          <w:rPr>
            <w:rStyle w:val="af"/>
            <w:rFonts w:asciiTheme="minorHAnsi" w:hAnsiTheme="minorHAnsi" w:cstheme="minorHAnsi"/>
            <w:caps w:val="0"/>
            <w:noProof/>
            <w:szCs w:val="22"/>
          </w:rPr>
          <w:t>3:</w:t>
        </w:r>
        <w:r w:rsidR="00F43A13" w:rsidRPr="00037F51">
          <w:rPr>
            <w:rStyle w:val="af"/>
            <w:rFonts w:asciiTheme="minorHAnsi" w:hAnsiTheme="minorHAnsi" w:cstheme="minorHAnsi"/>
            <w:noProof/>
            <w:szCs w:val="22"/>
          </w:rPr>
          <w:t xml:space="preserve"> </w:t>
        </w:r>
        <w:r w:rsidR="00FC4864" w:rsidRPr="00037F51">
          <w:rPr>
            <w:rStyle w:val="af"/>
            <w:rFonts w:asciiTheme="minorHAnsi" w:hAnsiTheme="minorHAnsi" w:cstheme="minorHAnsi"/>
            <w:caps w:val="0"/>
            <w:noProof/>
            <w:szCs w:val="22"/>
          </w:rPr>
          <w:t>measuring innovation performance</w:t>
        </w:r>
        <w:r w:rsidR="00AC47E3" w:rsidRPr="00037F51">
          <w:rPr>
            <w:rFonts w:asciiTheme="minorHAnsi" w:hAnsiTheme="minorHAnsi" w:cstheme="minorHAnsi"/>
            <w:noProof/>
            <w:webHidden/>
            <w:szCs w:val="22"/>
          </w:rPr>
          <w:tab/>
        </w:r>
        <w:r w:rsidR="00AC47E3" w:rsidRPr="00037F51">
          <w:rPr>
            <w:rFonts w:asciiTheme="minorHAnsi" w:hAnsiTheme="minorHAnsi" w:cstheme="minorHAnsi"/>
            <w:noProof/>
            <w:webHidden/>
            <w:szCs w:val="22"/>
          </w:rPr>
          <w:fldChar w:fldCharType="begin"/>
        </w:r>
        <w:r w:rsidR="00AC47E3" w:rsidRPr="00037F51">
          <w:rPr>
            <w:rFonts w:asciiTheme="minorHAnsi" w:hAnsiTheme="minorHAnsi" w:cstheme="minorHAnsi"/>
            <w:noProof/>
            <w:webHidden/>
            <w:szCs w:val="22"/>
          </w:rPr>
          <w:instrText xml:space="preserve"> PAGEREF _Toc455499248 \h </w:instrText>
        </w:r>
        <w:r w:rsidR="00AC47E3" w:rsidRPr="00037F51">
          <w:rPr>
            <w:rFonts w:asciiTheme="minorHAnsi" w:hAnsiTheme="minorHAnsi" w:cstheme="minorHAnsi"/>
            <w:noProof/>
            <w:webHidden/>
            <w:szCs w:val="22"/>
          </w:rPr>
        </w:r>
        <w:r w:rsidR="00AC47E3" w:rsidRPr="00037F51">
          <w:rPr>
            <w:rFonts w:asciiTheme="minorHAnsi" w:hAnsiTheme="minorHAnsi" w:cstheme="minorHAnsi"/>
            <w:noProof/>
            <w:webHidden/>
            <w:szCs w:val="22"/>
          </w:rPr>
          <w:fldChar w:fldCharType="separate"/>
        </w:r>
        <w:r w:rsidR="00D178EF">
          <w:rPr>
            <w:rFonts w:asciiTheme="minorHAnsi" w:hAnsiTheme="minorHAnsi" w:cstheme="minorHAnsi"/>
            <w:noProof/>
            <w:webHidden/>
            <w:szCs w:val="22"/>
          </w:rPr>
          <w:t>18</w:t>
        </w:r>
        <w:r w:rsidR="00AC47E3" w:rsidRPr="00037F51">
          <w:rPr>
            <w:rFonts w:asciiTheme="minorHAnsi" w:hAnsiTheme="minorHAnsi" w:cstheme="minorHAnsi"/>
            <w:noProof/>
            <w:webHidden/>
            <w:szCs w:val="22"/>
          </w:rPr>
          <w:fldChar w:fldCharType="end"/>
        </w:r>
      </w:hyperlink>
    </w:p>
    <w:p w:rsidR="00AC47E3" w:rsidRPr="00037F51" w:rsidRDefault="00944D57">
      <w:pPr>
        <w:pStyle w:val="11"/>
        <w:rPr>
          <w:rFonts w:asciiTheme="minorHAnsi" w:eastAsiaTheme="minorEastAsia" w:hAnsiTheme="minorHAnsi" w:cstheme="minorHAnsi"/>
          <w:b w:val="0"/>
          <w:bCs w:val="0"/>
          <w:caps w:val="0"/>
          <w:noProof/>
          <w:szCs w:val="22"/>
          <w:lang w:eastAsia="en-GB"/>
        </w:rPr>
      </w:pPr>
      <w:hyperlink w:anchor="_Toc455499249" w:history="1">
        <w:r w:rsidR="00037F51" w:rsidRPr="00037F51">
          <w:rPr>
            <w:rStyle w:val="af"/>
            <w:rFonts w:asciiTheme="minorHAnsi" w:hAnsiTheme="minorHAnsi" w:cstheme="minorHAnsi"/>
            <w:caps w:val="0"/>
            <w:noProof/>
            <w:szCs w:val="22"/>
          </w:rPr>
          <w:t xml:space="preserve">Chapter </w:t>
        </w:r>
        <w:r w:rsidR="00FC4864" w:rsidRPr="00037F51">
          <w:rPr>
            <w:rStyle w:val="af"/>
            <w:rFonts w:asciiTheme="minorHAnsi" w:hAnsiTheme="minorHAnsi" w:cstheme="minorHAnsi"/>
            <w:caps w:val="0"/>
            <w:noProof/>
            <w:szCs w:val="22"/>
          </w:rPr>
          <w:t>4: innovation in the enterprise sector</w:t>
        </w:r>
        <w:r w:rsidR="00AC47E3" w:rsidRPr="00037F51">
          <w:rPr>
            <w:rFonts w:asciiTheme="minorHAnsi" w:hAnsiTheme="minorHAnsi" w:cstheme="minorHAnsi"/>
            <w:noProof/>
            <w:webHidden/>
            <w:szCs w:val="22"/>
          </w:rPr>
          <w:tab/>
        </w:r>
        <w:r w:rsidR="00AC47E3" w:rsidRPr="00037F51">
          <w:rPr>
            <w:rFonts w:asciiTheme="minorHAnsi" w:hAnsiTheme="minorHAnsi" w:cstheme="minorHAnsi"/>
            <w:noProof/>
            <w:webHidden/>
            <w:szCs w:val="22"/>
          </w:rPr>
          <w:fldChar w:fldCharType="begin"/>
        </w:r>
        <w:r w:rsidR="00AC47E3" w:rsidRPr="00037F51">
          <w:rPr>
            <w:rFonts w:asciiTheme="minorHAnsi" w:hAnsiTheme="minorHAnsi" w:cstheme="minorHAnsi"/>
            <w:noProof/>
            <w:webHidden/>
            <w:szCs w:val="22"/>
          </w:rPr>
          <w:instrText xml:space="preserve"> PAGEREF _Toc455499249 \h </w:instrText>
        </w:r>
        <w:r w:rsidR="00AC47E3" w:rsidRPr="00037F51">
          <w:rPr>
            <w:rFonts w:asciiTheme="minorHAnsi" w:hAnsiTheme="minorHAnsi" w:cstheme="minorHAnsi"/>
            <w:noProof/>
            <w:webHidden/>
            <w:szCs w:val="22"/>
          </w:rPr>
        </w:r>
        <w:r w:rsidR="00AC47E3" w:rsidRPr="00037F51">
          <w:rPr>
            <w:rFonts w:asciiTheme="minorHAnsi" w:hAnsiTheme="minorHAnsi" w:cstheme="minorHAnsi"/>
            <w:noProof/>
            <w:webHidden/>
            <w:szCs w:val="22"/>
          </w:rPr>
          <w:fldChar w:fldCharType="separate"/>
        </w:r>
        <w:r w:rsidR="00D178EF">
          <w:rPr>
            <w:rFonts w:asciiTheme="minorHAnsi" w:hAnsiTheme="minorHAnsi" w:cstheme="minorHAnsi"/>
            <w:noProof/>
            <w:webHidden/>
            <w:szCs w:val="22"/>
          </w:rPr>
          <w:t>33</w:t>
        </w:r>
        <w:r w:rsidR="00AC47E3" w:rsidRPr="00037F51">
          <w:rPr>
            <w:rFonts w:asciiTheme="minorHAnsi" w:hAnsiTheme="minorHAnsi" w:cstheme="minorHAnsi"/>
            <w:noProof/>
            <w:webHidden/>
            <w:szCs w:val="22"/>
          </w:rPr>
          <w:fldChar w:fldCharType="end"/>
        </w:r>
      </w:hyperlink>
    </w:p>
    <w:p w:rsidR="00AC47E3" w:rsidRPr="00037F51" w:rsidRDefault="00944D57">
      <w:pPr>
        <w:pStyle w:val="11"/>
        <w:tabs>
          <w:tab w:val="left" w:pos="1882"/>
        </w:tabs>
        <w:rPr>
          <w:rFonts w:asciiTheme="minorHAnsi" w:eastAsiaTheme="minorEastAsia" w:hAnsiTheme="minorHAnsi" w:cstheme="minorHAnsi"/>
          <w:b w:val="0"/>
          <w:bCs w:val="0"/>
          <w:caps w:val="0"/>
          <w:noProof/>
          <w:szCs w:val="22"/>
          <w:lang w:eastAsia="en-GB"/>
        </w:rPr>
      </w:pPr>
      <w:hyperlink w:anchor="_Toc455499250" w:history="1">
        <w:r w:rsidR="00037F51" w:rsidRPr="00037F51">
          <w:rPr>
            <w:rStyle w:val="af"/>
            <w:rFonts w:asciiTheme="minorHAnsi" w:hAnsiTheme="minorHAnsi" w:cstheme="minorHAnsi"/>
            <w:caps w:val="0"/>
            <w:noProof/>
            <w:szCs w:val="22"/>
          </w:rPr>
          <w:t xml:space="preserve">Chapter </w:t>
        </w:r>
        <w:r w:rsidR="00FC4864" w:rsidRPr="00037F51">
          <w:rPr>
            <w:rStyle w:val="af"/>
            <w:rFonts w:asciiTheme="minorHAnsi" w:hAnsiTheme="minorHAnsi" w:cstheme="minorHAnsi"/>
            <w:caps w:val="0"/>
            <w:noProof/>
            <w:szCs w:val="22"/>
          </w:rPr>
          <w:t>5:</w:t>
        </w:r>
        <w:r w:rsidR="00F43A13" w:rsidRPr="00037F51">
          <w:rPr>
            <w:rStyle w:val="af"/>
            <w:rFonts w:asciiTheme="minorHAnsi" w:hAnsiTheme="minorHAnsi" w:cstheme="minorHAnsi"/>
            <w:noProof/>
            <w:szCs w:val="22"/>
          </w:rPr>
          <w:t xml:space="preserve"> </w:t>
        </w:r>
        <w:r w:rsidR="00FC4864" w:rsidRPr="00037F51">
          <w:rPr>
            <w:rStyle w:val="af"/>
            <w:rFonts w:asciiTheme="minorHAnsi" w:hAnsiTheme="minorHAnsi" w:cstheme="minorHAnsi"/>
            <w:caps w:val="0"/>
            <w:noProof/>
            <w:szCs w:val="22"/>
          </w:rPr>
          <w:t>role of innovation policy in achieving sustainable development</w:t>
        </w:r>
        <w:r w:rsidR="00AC47E3" w:rsidRPr="00037F51">
          <w:rPr>
            <w:rFonts w:asciiTheme="minorHAnsi" w:hAnsiTheme="minorHAnsi" w:cstheme="minorHAnsi"/>
            <w:noProof/>
            <w:webHidden/>
            <w:szCs w:val="22"/>
          </w:rPr>
          <w:tab/>
        </w:r>
        <w:r w:rsidR="00AC47E3" w:rsidRPr="00037F51">
          <w:rPr>
            <w:rFonts w:asciiTheme="minorHAnsi" w:hAnsiTheme="minorHAnsi" w:cstheme="minorHAnsi"/>
            <w:noProof/>
            <w:webHidden/>
            <w:szCs w:val="22"/>
          </w:rPr>
          <w:fldChar w:fldCharType="begin"/>
        </w:r>
        <w:r w:rsidR="00AC47E3" w:rsidRPr="00037F51">
          <w:rPr>
            <w:rFonts w:asciiTheme="minorHAnsi" w:hAnsiTheme="minorHAnsi" w:cstheme="minorHAnsi"/>
            <w:noProof/>
            <w:webHidden/>
            <w:szCs w:val="22"/>
          </w:rPr>
          <w:instrText xml:space="preserve"> PAGEREF _Toc455499250 \h </w:instrText>
        </w:r>
        <w:r w:rsidR="00AC47E3" w:rsidRPr="00037F51">
          <w:rPr>
            <w:rFonts w:asciiTheme="minorHAnsi" w:hAnsiTheme="minorHAnsi" w:cstheme="minorHAnsi"/>
            <w:noProof/>
            <w:webHidden/>
            <w:szCs w:val="22"/>
          </w:rPr>
        </w:r>
        <w:r w:rsidR="00AC47E3" w:rsidRPr="00037F51">
          <w:rPr>
            <w:rFonts w:asciiTheme="minorHAnsi" w:hAnsiTheme="minorHAnsi" w:cstheme="minorHAnsi"/>
            <w:noProof/>
            <w:webHidden/>
            <w:szCs w:val="22"/>
          </w:rPr>
          <w:fldChar w:fldCharType="separate"/>
        </w:r>
        <w:r w:rsidR="00D178EF">
          <w:rPr>
            <w:rFonts w:asciiTheme="minorHAnsi" w:hAnsiTheme="minorHAnsi" w:cstheme="minorHAnsi"/>
            <w:noProof/>
            <w:webHidden/>
            <w:szCs w:val="22"/>
          </w:rPr>
          <w:t>43</w:t>
        </w:r>
        <w:r w:rsidR="00AC47E3" w:rsidRPr="00037F51">
          <w:rPr>
            <w:rFonts w:asciiTheme="minorHAnsi" w:hAnsiTheme="minorHAnsi" w:cstheme="minorHAnsi"/>
            <w:noProof/>
            <w:webHidden/>
            <w:szCs w:val="22"/>
          </w:rPr>
          <w:fldChar w:fldCharType="end"/>
        </w:r>
      </w:hyperlink>
    </w:p>
    <w:p w:rsidR="00AC47E3" w:rsidRPr="00AC47E3" w:rsidRDefault="00944D57">
      <w:pPr>
        <w:pStyle w:val="11"/>
        <w:rPr>
          <w:rFonts w:asciiTheme="minorHAnsi" w:eastAsiaTheme="minorEastAsia" w:hAnsiTheme="minorHAnsi" w:cstheme="minorHAnsi"/>
          <w:b w:val="0"/>
          <w:bCs w:val="0"/>
          <w:caps w:val="0"/>
          <w:noProof/>
          <w:sz w:val="22"/>
          <w:szCs w:val="22"/>
          <w:lang w:eastAsia="en-GB"/>
        </w:rPr>
      </w:pPr>
      <w:hyperlink w:anchor="_Toc455499251" w:history="1">
        <w:r w:rsidR="00037F51" w:rsidRPr="00037F51">
          <w:rPr>
            <w:rStyle w:val="af"/>
            <w:rFonts w:asciiTheme="minorHAnsi" w:hAnsiTheme="minorHAnsi" w:cstheme="minorHAnsi"/>
            <w:caps w:val="0"/>
            <w:noProof/>
            <w:szCs w:val="22"/>
          </w:rPr>
          <w:t>Recommendations</w:t>
        </w:r>
        <w:r w:rsidR="00AC47E3" w:rsidRPr="00037F51">
          <w:rPr>
            <w:rStyle w:val="af"/>
            <w:rFonts w:asciiTheme="minorHAnsi" w:hAnsiTheme="minorHAnsi" w:cstheme="minorHAnsi"/>
            <w:noProof/>
            <w:szCs w:val="22"/>
          </w:rPr>
          <w:t>:</w:t>
        </w:r>
        <w:r w:rsidR="00AC47E3" w:rsidRPr="00037F51">
          <w:rPr>
            <w:rFonts w:asciiTheme="minorHAnsi" w:hAnsiTheme="minorHAnsi" w:cstheme="minorHAnsi"/>
            <w:noProof/>
            <w:webHidden/>
            <w:szCs w:val="22"/>
          </w:rPr>
          <w:tab/>
        </w:r>
        <w:r w:rsidR="00AC47E3" w:rsidRPr="00037F51">
          <w:rPr>
            <w:rFonts w:asciiTheme="minorHAnsi" w:hAnsiTheme="minorHAnsi" w:cstheme="minorHAnsi"/>
            <w:noProof/>
            <w:webHidden/>
            <w:szCs w:val="22"/>
          </w:rPr>
          <w:fldChar w:fldCharType="begin"/>
        </w:r>
        <w:r w:rsidR="00AC47E3" w:rsidRPr="00037F51">
          <w:rPr>
            <w:rFonts w:asciiTheme="minorHAnsi" w:hAnsiTheme="minorHAnsi" w:cstheme="minorHAnsi"/>
            <w:noProof/>
            <w:webHidden/>
            <w:szCs w:val="22"/>
          </w:rPr>
          <w:instrText xml:space="preserve"> PAGEREF _Toc455499251 \h </w:instrText>
        </w:r>
        <w:r w:rsidR="00AC47E3" w:rsidRPr="00037F51">
          <w:rPr>
            <w:rFonts w:asciiTheme="minorHAnsi" w:hAnsiTheme="minorHAnsi" w:cstheme="minorHAnsi"/>
            <w:noProof/>
            <w:webHidden/>
            <w:szCs w:val="22"/>
          </w:rPr>
        </w:r>
        <w:r w:rsidR="00AC47E3" w:rsidRPr="00037F51">
          <w:rPr>
            <w:rFonts w:asciiTheme="minorHAnsi" w:hAnsiTheme="minorHAnsi" w:cstheme="minorHAnsi"/>
            <w:noProof/>
            <w:webHidden/>
            <w:szCs w:val="22"/>
          </w:rPr>
          <w:fldChar w:fldCharType="separate"/>
        </w:r>
        <w:r w:rsidR="00D178EF">
          <w:rPr>
            <w:rFonts w:asciiTheme="minorHAnsi" w:hAnsiTheme="minorHAnsi" w:cstheme="minorHAnsi"/>
            <w:noProof/>
            <w:webHidden/>
            <w:szCs w:val="22"/>
          </w:rPr>
          <w:t>51</w:t>
        </w:r>
        <w:r w:rsidR="00AC47E3" w:rsidRPr="00037F51">
          <w:rPr>
            <w:rFonts w:asciiTheme="minorHAnsi" w:hAnsiTheme="minorHAnsi" w:cstheme="minorHAnsi"/>
            <w:noProof/>
            <w:webHidden/>
            <w:szCs w:val="22"/>
          </w:rPr>
          <w:fldChar w:fldCharType="end"/>
        </w:r>
      </w:hyperlink>
    </w:p>
    <w:p w:rsidR="00C7043B" w:rsidRDefault="002F2847" w:rsidP="00C7043B">
      <w:pPr>
        <w:pStyle w:val="afb"/>
        <w:spacing w:before="0"/>
        <w:rPr>
          <w:rFonts w:asciiTheme="minorHAnsi" w:hAnsiTheme="minorHAnsi" w:cstheme="minorHAnsi"/>
          <w:sz w:val="22"/>
          <w:szCs w:val="22"/>
        </w:rPr>
      </w:pPr>
      <w:r w:rsidRPr="00AC47E3">
        <w:rPr>
          <w:rFonts w:asciiTheme="minorHAnsi" w:hAnsiTheme="minorHAnsi" w:cstheme="minorHAnsi"/>
          <w:sz w:val="22"/>
          <w:szCs w:val="22"/>
        </w:rPr>
        <w:fldChar w:fldCharType="end"/>
      </w:r>
      <w:bookmarkStart w:id="1" w:name="_Toc455499247"/>
    </w:p>
    <w:p w:rsidR="00817025" w:rsidRPr="00FC4864" w:rsidRDefault="000D1DC7" w:rsidP="00C7043B">
      <w:pPr>
        <w:pStyle w:val="afb"/>
        <w:spacing w:before="0"/>
        <w:rPr>
          <w:rFonts w:asciiTheme="minorHAnsi" w:hAnsiTheme="minorHAnsi" w:cstheme="minorHAnsi"/>
          <w:color w:val="auto"/>
          <w:sz w:val="24"/>
          <w:szCs w:val="24"/>
        </w:rPr>
      </w:pPr>
      <w:r w:rsidRPr="00FC4864">
        <w:rPr>
          <w:rFonts w:asciiTheme="minorHAnsi" w:hAnsiTheme="minorHAnsi" w:cstheme="minorHAnsi"/>
          <w:color w:val="auto"/>
          <w:sz w:val="24"/>
          <w:szCs w:val="24"/>
        </w:rPr>
        <w:t>Chapter 2</w:t>
      </w:r>
      <w:r w:rsidR="00FD2D8E" w:rsidRPr="00FC4864">
        <w:rPr>
          <w:rFonts w:asciiTheme="minorHAnsi" w:hAnsiTheme="minorHAnsi" w:cstheme="minorHAnsi"/>
          <w:color w:val="auto"/>
          <w:sz w:val="24"/>
          <w:szCs w:val="24"/>
        </w:rPr>
        <w:t xml:space="preserve">: </w:t>
      </w:r>
      <w:r w:rsidR="00037F51">
        <w:rPr>
          <w:rFonts w:asciiTheme="minorHAnsi" w:hAnsiTheme="minorHAnsi" w:cstheme="minorHAnsi"/>
          <w:color w:val="auto"/>
          <w:sz w:val="24"/>
          <w:szCs w:val="24"/>
        </w:rPr>
        <w:t>p</w:t>
      </w:r>
      <w:r w:rsidR="00FD2D8E" w:rsidRPr="00FC4864">
        <w:rPr>
          <w:rFonts w:asciiTheme="minorHAnsi" w:hAnsiTheme="minorHAnsi" w:cstheme="minorHAnsi"/>
          <w:color w:val="auto"/>
          <w:sz w:val="24"/>
          <w:szCs w:val="24"/>
        </w:rPr>
        <w:t>olicy frameworks, programming and initiatives</w:t>
      </w:r>
      <w:bookmarkEnd w:id="1"/>
    </w:p>
    <w:p w:rsidR="002852F5" w:rsidRDefault="002852F5" w:rsidP="000D1DC7">
      <w:pPr>
        <w:spacing w:after="0" w:line="240" w:lineRule="auto"/>
        <w:jc w:val="both"/>
        <w:rPr>
          <w:rFonts w:ascii="Times New Roman" w:hAnsi="Times New Roman" w:cs="Times New Roman"/>
          <w:sz w:val="24"/>
          <w:szCs w:val="24"/>
        </w:rPr>
      </w:pPr>
    </w:p>
    <w:p w:rsidR="000D1DC7" w:rsidRPr="000D1DC7" w:rsidRDefault="000D1DC7" w:rsidP="000D1DC7">
      <w:pPr>
        <w:spacing w:after="0" w:line="240" w:lineRule="auto"/>
        <w:jc w:val="both"/>
        <w:rPr>
          <w:rFonts w:ascii="Times New Roman" w:hAnsi="Times New Roman" w:cs="Times New Roman"/>
          <w:sz w:val="24"/>
          <w:szCs w:val="24"/>
        </w:rPr>
      </w:pPr>
      <w:r w:rsidRPr="000D1DC7">
        <w:rPr>
          <w:rFonts w:ascii="Times New Roman" w:hAnsi="Times New Roman" w:cs="Times New Roman"/>
          <w:sz w:val="24"/>
          <w:szCs w:val="24"/>
        </w:rPr>
        <w:t xml:space="preserve">Innovation policy and practice in Belarus was given a significant new impetus with the adoption in 2012 of the new </w:t>
      </w:r>
      <w:r w:rsidRPr="002C0D64">
        <w:rPr>
          <w:rFonts w:ascii="Times New Roman" w:hAnsi="Times New Roman" w:cs="Times New Roman"/>
          <w:sz w:val="24"/>
          <w:szCs w:val="24"/>
        </w:rPr>
        <w:t xml:space="preserve">Law on State Innovation Policy and Innovation Activity </w:t>
      </w:r>
      <w:r>
        <w:rPr>
          <w:rFonts w:ascii="Times New Roman" w:hAnsi="Times New Roman" w:cs="Times New Roman"/>
          <w:sz w:val="24"/>
          <w:szCs w:val="24"/>
        </w:rPr>
        <w:t>(LSIPIA).</w:t>
      </w:r>
      <w:r w:rsidR="000A35DE">
        <w:rPr>
          <w:rFonts w:ascii="Times New Roman" w:hAnsi="Times New Roman" w:cs="Times New Roman"/>
          <w:sz w:val="24"/>
          <w:szCs w:val="24"/>
        </w:rPr>
        <w:t xml:space="preserve"> </w:t>
      </w:r>
      <w:r w:rsidRPr="000D1DC7">
        <w:rPr>
          <w:rFonts w:ascii="Times New Roman" w:hAnsi="Times New Roman" w:cs="Times New Roman"/>
          <w:sz w:val="24"/>
          <w:szCs w:val="24"/>
        </w:rPr>
        <w:t>LSIPIA instituted the concept of National Innovation System (NIS) and defined the State Programme for Innovative Development as the main programmatic document supporting the implementation of the main directions of state innovation policy</w:t>
      </w:r>
      <w:r w:rsidR="00037D4B">
        <w:rPr>
          <w:rFonts w:ascii="Times New Roman" w:hAnsi="Times New Roman" w:cs="Times New Roman"/>
          <w:sz w:val="24"/>
          <w:szCs w:val="24"/>
        </w:rPr>
        <w:t xml:space="preserve">. </w:t>
      </w:r>
    </w:p>
    <w:p w:rsidR="00037D4B" w:rsidRDefault="00037D4B" w:rsidP="000D1DC7">
      <w:pPr>
        <w:spacing w:after="0" w:line="240" w:lineRule="auto"/>
        <w:jc w:val="both"/>
        <w:rPr>
          <w:rFonts w:ascii="Times New Roman" w:hAnsi="Times New Roman" w:cs="Times New Roman"/>
          <w:sz w:val="24"/>
          <w:szCs w:val="24"/>
        </w:rPr>
      </w:pPr>
    </w:p>
    <w:p w:rsidR="000D1DC7" w:rsidRPr="000D1DC7" w:rsidRDefault="000D1DC7" w:rsidP="000D1DC7">
      <w:pPr>
        <w:spacing w:after="0" w:line="240" w:lineRule="auto"/>
        <w:jc w:val="both"/>
        <w:rPr>
          <w:rFonts w:ascii="Times New Roman" w:hAnsi="Times New Roman" w:cs="Times New Roman"/>
          <w:sz w:val="24"/>
          <w:szCs w:val="24"/>
        </w:rPr>
      </w:pPr>
      <w:r w:rsidRPr="000D1DC7">
        <w:rPr>
          <w:rFonts w:ascii="Times New Roman" w:hAnsi="Times New Roman" w:cs="Times New Roman"/>
          <w:sz w:val="24"/>
          <w:szCs w:val="24"/>
        </w:rPr>
        <w:t xml:space="preserve">LSIPIA acknowledged risk a key feature of innovation activity which needs to be taken into account when planning, managing and financing the innovation process. Respectively, the Law defines categories such as “innovation projects” and “innovative goods” which can be subject to specific treatment by legislation and regulation. LSIPIA </w:t>
      </w:r>
      <w:r w:rsidR="00A55538">
        <w:rPr>
          <w:rFonts w:ascii="Times New Roman" w:hAnsi="Times New Roman" w:cs="Times New Roman"/>
          <w:sz w:val="24"/>
          <w:szCs w:val="24"/>
        </w:rPr>
        <w:t xml:space="preserve">also </w:t>
      </w:r>
      <w:r w:rsidRPr="000D1DC7">
        <w:rPr>
          <w:rFonts w:ascii="Times New Roman" w:hAnsi="Times New Roman" w:cs="Times New Roman"/>
          <w:sz w:val="24"/>
          <w:szCs w:val="24"/>
        </w:rPr>
        <w:t>deals with innovation infrastructure and support institutions. It defines the categories of “techno</w:t>
      </w:r>
      <w:r w:rsidR="00B64B42">
        <w:rPr>
          <w:rFonts w:ascii="Times New Roman" w:hAnsi="Times New Roman" w:cs="Times New Roman"/>
          <w:sz w:val="24"/>
          <w:szCs w:val="24"/>
        </w:rPr>
        <w:t>-</w:t>
      </w:r>
      <w:r w:rsidRPr="000D1DC7">
        <w:rPr>
          <w:rFonts w:ascii="Times New Roman" w:hAnsi="Times New Roman" w:cs="Times New Roman"/>
          <w:sz w:val="24"/>
          <w:szCs w:val="24"/>
        </w:rPr>
        <w:t>park”, “technology transfer centre” and “venture organisation” which can also be subject to specific regulatory measures</w:t>
      </w:r>
      <w:r w:rsidR="00037D4B">
        <w:rPr>
          <w:rFonts w:ascii="Times New Roman" w:hAnsi="Times New Roman" w:cs="Times New Roman"/>
          <w:sz w:val="24"/>
          <w:szCs w:val="24"/>
        </w:rPr>
        <w:t xml:space="preserve">. </w:t>
      </w:r>
      <w:r w:rsidRPr="000D1DC7">
        <w:rPr>
          <w:rFonts w:ascii="Times New Roman" w:hAnsi="Times New Roman" w:cs="Times New Roman"/>
          <w:sz w:val="24"/>
          <w:szCs w:val="24"/>
        </w:rPr>
        <w:t xml:space="preserve">The part dealing with the financing of innovation activity is probably the weakest part in the new law as LSIPIA falls short of identifying new sources of funding or specifying new funding instruments. </w:t>
      </w:r>
    </w:p>
    <w:p w:rsidR="00037D4B" w:rsidRDefault="00037D4B" w:rsidP="000D1DC7">
      <w:pPr>
        <w:spacing w:after="0" w:line="240" w:lineRule="auto"/>
        <w:jc w:val="both"/>
        <w:rPr>
          <w:rFonts w:ascii="Times New Roman" w:hAnsi="Times New Roman" w:cs="Times New Roman"/>
          <w:sz w:val="24"/>
          <w:szCs w:val="24"/>
        </w:rPr>
      </w:pPr>
    </w:p>
    <w:p w:rsidR="00245E95" w:rsidRDefault="000D1DC7" w:rsidP="000D1DC7">
      <w:pPr>
        <w:spacing w:after="0" w:line="240" w:lineRule="auto"/>
        <w:jc w:val="both"/>
        <w:rPr>
          <w:rFonts w:ascii="Times New Roman" w:hAnsi="Times New Roman" w:cs="Times New Roman"/>
          <w:sz w:val="24"/>
          <w:szCs w:val="24"/>
        </w:rPr>
      </w:pPr>
      <w:r w:rsidRPr="000D1DC7">
        <w:rPr>
          <w:rFonts w:ascii="Times New Roman" w:hAnsi="Times New Roman" w:cs="Times New Roman"/>
          <w:sz w:val="24"/>
          <w:szCs w:val="24"/>
        </w:rPr>
        <w:t xml:space="preserve">As stipulated in LSIPIA, the </w:t>
      </w:r>
      <w:r w:rsidRPr="002C0D64">
        <w:rPr>
          <w:rFonts w:ascii="Times New Roman" w:hAnsi="Times New Roman" w:cs="Times New Roman"/>
          <w:sz w:val="24"/>
          <w:szCs w:val="24"/>
        </w:rPr>
        <w:t>State Programmes for Innovative Development (SPID)</w:t>
      </w:r>
      <w:r w:rsidRPr="000D1DC7">
        <w:rPr>
          <w:rFonts w:ascii="Times New Roman" w:hAnsi="Times New Roman" w:cs="Times New Roman"/>
          <w:sz w:val="24"/>
          <w:szCs w:val="24"/>
        </w:rPr>
        <w:t xml:space="preserve"> are envisaged as the programmatic means of operationalizing public innovation strategy and policy</w:t>
      </w:r>
      <w:r w:rsidR="00245E95">
        <w:rPr>
          <w:rFonts w:ascii="Times New Roman" w:hAnsi="Times New Roman" w:cs="Times New Roman"/>
          <w:sz w:val="24"/>
          <w:szCs w:val="24"/>
        </w:rPr>
        <w:t>, i</w:t>
      </w:r>
      <w:r w:rsidRPr="000D1DC7">
        <w:rPr>
          <w:rFonts w:ascii="Times New Roman" w:hAnsi="Times New Roman" w:cs="Times New Roman"/>
          <w:sz w:val="24"/>
          <w:szCs w:val="24"/>
        </w:rPr>
        <w:t>n accordance with the general 5-year gove</w:t>
      </w:r>
      <w:r w:rsidR="00245E95">
        <w:rPr>
          <w:rFonts w:ascii="Times New Roman" w:hAnsi="Times New Roman" w:cs="Times New Roman"/>
          <w:sz w:val="24"/>
          <w:szCs w:val="24"/>
        </w:rPr>
        <w:t>rnment planning cycle in Belarus.</w:t>
      </w:r>
    </w:p>
    <w:p w:rsidR="00245E95" w:rsidRDefault="00245E95" w:rsidP="000D1DC7">
      <w:pPr>
        <w:spacing w:after="0" w:line="240" w:lineRule="auto"/>
        <w:jc w:val="both"/>
        <w:rPr>
          <w:rFonts w:ascii="Times New Roman" w:hAnsi="Times New Roman" w:cs="Times New Roman"/>
          <w:sz w:val="24"/>
          <w:szCs w:val="24"/>
        </w:rPr>
      </w:pPr>
    </w:p>
    <w:p w:rsidR="000D1DC7" w:rsidRPr="000D1DC7" w:rsidRDefault="000D1DC7" w:rsidP="000D1DC7">
      <w:pPr>
        <w:spacing w:after="0" w:line="240" w:lineRule="auto"/>
        <w:jc w:val="both"/>
        <w:rPr>
          <w:rFonts w:ascii="Times New Roman" w:hAnsi="Times New Roman" w:cs="Times New Roman"/>
          <w:sz w:val="24"/>
          <w:szCs w:val="24"/>
        </w:rPr>
      </w:pPr>
      <w:r w:rsidRPr="000D1DC7">
        <w:rPr>
          <w:rFonts w:ascii="Times New Roman" w:hAnsi="Times New Roman" w:cs="Times New Roman"/>
          <w:sz w:val="24"/>
          <w:szCs w:val="24"/>
        </w:rPr>
        <w:t>Belarus has already implemented two such programmes: SPID 2008-2010 (with a shorter timeline as it was introduced in the middle of the regular planning cycle) and SPID 2011-2015. At the moment of writing, the Belarusian authorities were still deliberating the draft SPID 2016-2020</w:t>
      </w:r>
      <w:r w:rsidR="00037D4B">
        <w:rPr>
          <w:rFonts w:ascii="Times New Roman" w:hAnsi="Times New Roman" w:cs="Times New Roman"/>
          <w:sz w:val="24"/>
          <w:szCs w:val="24"/>
        </w:rPr>
        <w:t xml:space="preserve">. </w:t>
      </w:r>
      <w:r w:rsidRPr="000D1DC7">
        <w:rPr>
          <w:rFonts w:ascii="Times New Roman" w:hAnsi="Times New Roman" w:cs="Times New Roman"/>
          <w:sz w:val="24"/>
          <w:szCs w:val="24"/>
        </w:rPr>
        <w:t>SPID 2016-2020 contains a range of ambitious objectives and targets for modernizing the Belarusian economy and raising its international competitiveness.</w:t>
      </w:r>
      <w:r w:rsidR="00037D4B">
        <w:rPr>
          <w:rFonts w:ascii="Times New Roman" w:hAnsi="Times New Roman" w:cs="Times New Roman"/>
          <w:sz w:val="24"/>
          <w:szCs w:val="24"/>
        </w:rPr>
        <w:t xml:space="preserve"> </w:t>
      </w:r>
      <w:r w:rsidRPr="000D1DC7">
        <w:rPr>
          <w:rFonts w:ascii="Times New Roman" w:hAnsi="Times New Roman" w:cs="Times New Roman"/>
          <w:sz w:val="24"/>
          <w:szCs w:val="24"/>
        </w:rPr>
        <w:t>However, in practical terms, SPID 2016-202 largely follows the conceptual design, format and structure of the past two such programmes. Due to that, de facto it is an eclectic mix of some concrete policy measures supported by earmarked budgetary funding and a wider policy framework defining the general policy orientation and desired steps to operationalize these steps without, however, concrete budgetary commitments for their implementation</w:t>
      </w:r>
      <w:r w:rsidR="00037D4B">
        <w:rPr>
          <w:rFonts w:ascii="Times New Roman" w:hAnsi="Times New Roman" w:cs="Times New Roman"/>
          <w:sz w:val="24"/>
          <w:szCs w:val="24"/>
        </w:rPr>
        <w:t>.</w:t>
      </w:r>
    </w:p>
    <w:p w:rsidR="000D1DC7" w:rsidRDefault="000D1DC7" w:rsidP="00550056">
      <w:pPr>
        <w:spacing w:after="0" w:line="240" w:lineRule="auto"/>
        <w:jc w:val="both"/>
        <w:rPr>
          <w:rFonts w:ascii="Times New Roman" w:hAnsi="Times New Roman" w:cs="Times New Roman"/>
          <w:b/>
          <w:i/>
          <w:sz w:val="24"/>
          <w:szCs w:val="24"/>
        </w:rPr>
      </w:pPr>
    </w:p>
    <w:p w:rsidR="000D1DC7" w:rsidRDefault="00245E95" w:rsidP="00245E95">
      <w:pPr>
        <w:spacing w:after="0" w:line="240" w:lineRule="auto"/>
        <w:jc w:val="both"/>
        <w:rPr>
          <w:rFonts w:ascii="Times New Roman" w:hAnsi="Times New Roman" w:cs="Times New Roman"/>
          <w:sz w:val="24"/>
          <w:szCs w:val="24"/>
        </w:rPr>
      </w:pPr>
      <w:r w:rsidRPr="00245E95">
        <w:rPr>
          <w:rFonts w:ascii="Times New Roman" w:hAnsi="Times New Roman" w:cs="Times New Roman"/>
          <w:sz w:val="24"/>
          <w:szCs w:val="24"/>
        </w:rPr>
        <w:t>The SPID part referring to “the most important projects for establishing new enterprises and production facilities with foremost importance for innovative development” is where the largest share of public financial resources earmarked for innovation is concentrated</w:t>
      </w:r>
      <w:r>
        <w:rPr>
          <w:rFonts w:ascii="Times New Roman" w:hAnsi="Times New Roman" w:cs="Times New Roman"/>
          <w:sz w:val="24"/>
          <w:szCs w:val="24"/>
        </w:rPr>
        <w:t xml:space="preserve">. </w:t>
      </w:r>
      <w:r w:rsidRPr="00245E95">
        <w:rPr>
          <w:rFonts w:ascii="Times New Roman" w:hAnsi="Times New Roman" w:cs="Times New Roman"/>
          <w:sz w:val="24"/>
          <w:szCs w:val="24"/>
        </w:rPr>
        <w:t xml:space="preserve">In </w:t>
      </w:r>
      <w:r w:rsidRPr="00245E95">
        <w:rPr>
          <w:rFonts w:ascii="Times New Roman" w:hAnsi="Times New Roman" w:cs="Times New Roman"/>
          <w:sz w:val="24"/>
          <w:szCs w:val="24"/>
        </w:rPr>
        <w:lastRenderedPageBreak/>
        <w:t>principle this part has clear objectives: putting into operation of concrete, new for the country technologies and production facilities.</w:t>
      </w:r>
      <w:r w:rsidR="000A35DE">
        <w:rPr>
          <w:rFonts w:ascii="Times New Roman" w:hAnsi="Times New Roman" w:cs="Times New Roman"/>
          <w:sz w:val="24"/>
          <w:szCs w:val="24"/>
        </w:rPr>
        <w:t xml:space="preserve"> </w:t>
      </w:r>
      <w:r w:rsidRPr="00245E95">
        <w:rPr>
          <w:rFonts w:ascii="Times New Roman" w:hAnsi="Times New Roman" w:cs="Times New Roman"/>
          <w:sz w:val="24"/>
          <w:szCs w:val="24"/>
        </w:rPr>
        <w:t>Judging from past experience, these policies have achieved some of their declared objectives.</w:t>
      </w:r>
      <w:r w:rsidR="000A35DE">
        <w:rPr>
          <w:rFonts w:ascii="Times New Roman" w:hAnsi="Times New Roman" w:cs="Times New Roman"/>
          <w:sz w:val="24"/>
          <w:szCs w:val="24"/>
        </w:rPr>
        <w:t xml:space="preserve"> </w:t>
      </w:r>
    </w:p>
    <w:p w:rsidR="00245E95" w:rsidRDefault="00245E95" w:rsidP="00550056">
      <w:pPr>
        <w:spacing w:after="0" w:line="240" w:lineRule="auto"/>
        <w:jc w:val="both"/>
        <w:rPr>
          <w:rFonts w:ascii="Times New Roman" w:hAnsi="Times New Roman" w:cs="Times New Roman"/>
          <w:sz w:val="24"/>
          <w:szCs w:val="24"/>
        </w:rPr>
      </w:pPr>
    </w:p>
    <w:p w:rsidR="00330DEF" w:rsidRDefault="00330DEF" w:rsidP="00DC3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f</w:t>
      </w:r>
      <w:r w:rsidR="000A35DE" w:rsidRPr="000A35DE">
        <w:rPr>
          <w:rFonts w:ascii="Times New Roman" w:hAnsi="Times New Roman" w:cs="Times New Roman"/>
          <w:sz w:val="24"/>
          <w:szCs w:val="24"/>
        </w:rPr>
        <w:t>rom the perspective of the modern conceptual understanding of innovation as a systemic process which involves complex interaction among many actors and stakeholders, SPID 2016-2020 is somewhat biased towards a more outdated conceptual understanding of innovation as a linear process from the phase of R&amp;D towards a subsequent phase of commercializing the results of research. One example of this is the declared intention in SPID 2016-2020 to launch within the programme special “innovation projects” for the commercialization of “no less than 50</w:t>
      </w:r>
      <w:r w:rsidR="007300BB">
        <w:rPr>
          <w:rFonts w:ascii="Times New Roman" w:hAnsi="Times New Roman" w:cs="Times New Roman"/>
          <w:sz w:val="24"/>
          <w:szCs w:val="24"/>
        </w:rPr>
        <w:t xml:space="preserve"> per cent</w:t>
      </w:r>
      <w:r w:rsidR="000A35DE" w:rsidRPr="000A35DE">
        <w:rPr>
          <w:rFonts w:ascii="Times New Roman" w:hAnsi="Times New Roman" w:cs="Times New Roman"/>
          <w:sz w:val="24"/>
          <w:szCs w:val="24"/>
        </w:rPr>
        <w:t xml:space="preserve"> of the results of SPID 2011-2015”. </w:t>
      </w:r>
      <w:r w:rsidR="00A52C8B" w:rsidRPr="00A52C8B">
        <w:rPr>
          <w:rFonts w:ascii="Times New Roman" w:hAnsi="Times New Roman" w:cs="Times New Roman"/>
          <w:sz w:val="24"/>
          <w:szCs w:val="24"/>
        </w:rPr>
        <w:t>The experience of other countries suggests that such an approach has proven to be inefficient in the current dynamic, fast changing globalized economy as by the time these results will be pushed forward to the market, most of them will probably be outdated.</w:t>
      </w:r>
      <w:r>
        <w:rPr>
          <w:rFonts w:ascii="Times New Roman" w:hAnsi="Times New Roman" w:cs="Times New Roman"/>
          <w:sz w:val="24"/>
          <w:szCs w:val="24"/>
        </w:rPr>
        <w:t xml:space="preserve"> </w:t>
      </w:r>
    </w:p>
    <w:p w:rsidR="00330DEF" w:rsidRDefault="00330DEF" w:rsidP="00DC3FC9">
      <w:pPr>
        <w:spacing w:after="0" w:line="240" w:lineRule="auto"/>
        <w:jc w:val="both"/>
        <w:rPr>
          <w:rFonts w:ascii="Times New Roman" w:hAnsi="Times New Roman" w:cs="Times New Roman"/>
          <w:sz w:val="24"/>
          <w:szCs w:val="24"/>
        </w:rPr>
      </w:pPr>
    </w:p>
    <w:p w:rsidR="00330DEF" w:rsidRDefault="00330DEF" w:rsidP="00330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C3FC9" w:rsidRPr="003523E2">
        <w:rPr>
          <w:rFonts w:ascii="Times New Roman" w:hAnsi="Times New Roman" w:cs="Times New Roman"/>
          <w:sz w:val="24"/>
          <w:szCs w:val="24"/>
        </w:rPr>
        <w:t xml:space="preserve">odern innovation policy is mostly horizontal: it provides open-ended innovation support opportunities across the board, without pre-defining who may have access to it. The selection of projects to be funded is done on the basis of open competitive calls, with no discrimination among the bidders, and funding is allocated to the most successful bids in the process. </w:t>
      </w:r>
      <w:r>
        <w:rPr>
          <w:rFonts w:ascii="Times New Roman" w:hAnsi="Times New Roman" w:cs="Times New Roman"/>
          <w:sz w:val="24"/>
          <w:szCs w:val="24"/>
        </w:rPr>
        <w:t xml:space="preserve"> In contrast, t</w:t>
      </w:r>
      <w:r w:rsidR="00DC3FC9" w:rsidRPr="00DC3FC9">
        <w:rPr>
          <w:rFonts w:ascii="Times New Roman" w:hAnsi="Times New Roman" w:cs="Times New Roman"/>
          <w:sz w:val="24"/>
          <w:szCs w:val="24"/>
        </w:rPr>
        <w:t>he analysis of the current situation in Belarus indicates that vertical policies still largely dominate the innovation policy mix: such elements prevail both in SPID and in the state programmes for scientific research and the state S&amp;T programmes</w:t>
      </w:r>
      <w:r>
        <w:rPr>
          <w:rFonts w:ascii="Times New Roman" w:hAnsi="Times New Roman" w:cs="Times New Roman"/>
          <w:sz w:val="24"/>
          <w:szCs w:val="24"/>
        </w:rPr>
        <w:t xml:space="preserve">. </w:t>
      </w:r>
    </w:p>
    <w:p w:rsidR="00330DEF" w:rsidRDefault="00330DEF" w:rsidP="00330DEF">
      <w:pPr>
        <w:spacing w:after="0" w:line="240" w:lineRule="auto"/>
        <w:jc w:val="both"/>
        <w:rPr>
          <w:rFonts w:ascii="Times New Roman" w:hAnsi="Times New Roman" w:cs="Times New Roman"/>
          <w:sz w:val="24"/>
          <w:szCs w:val="24"/>
        </w:rPr>
      </w:pPr>
    </w:p>
    <w:p w:rsidR="00DC3FC9" w:rsidRDefault="00330DEF" w:rsidP="00330D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Whereas t</w:t>
      </w:r>
      <w:r w:rsidR="00DC3FC9" w:rsidRPr="00DC3FC9">
        <w:rPr>
          <w:rFonts w:ascii="Times New Roman" w:hAnsi="Times New Roman" w:cs="Times New Roman"/>
          <w:sz w:val="24"/>
          <w:szCs w:val="24"/>
        </w:rPr>
        <w:t xml:space="preserve">he </w:t>
      </w:r>
      <w:r w:rsidR="00DC3FC9">
        <w:rPr>
          <w:rFonts w:ascii="Times New Roman" w:hAnsi="Times New Roman" w:cs="Times New Roman"/>
          <w:sz w:val="24"/>
          <w:szCs w:val="24"/>
        </w:rPr>
        <w:t>SPID</w:t>
      </w:r>
      <w:r w:rsidR="00DC3FC9" w:rsidRPr="00DC3FC9">
        <w:rPr>
          <w:rFonts w:ascii="Times New Roman" w:hAnsi="Times New Roman" w:cs="Times New Roman"/>
          <w:sz w:val="24"/>
          <w:szCs w:val="24"/>
        </w:rPr>
        <w:t xml:space="preserve"> contains a detailed list of such candidate projects </w:t>
      </w:r>
      <w:r w:rsidR="00EB568B">
        <w:rPr>
          <w:rFonts w:ascii="Times New Roman" w:hAnsi="Times New Roman" w:cs="Times New Roman"/>
          <w:sz w:val="24"/>
          <w:szCs w:val="24"/>
        </w:rPr>
        <w:t>for</w:t>
      </w:r>
      <w:r>
        <w:rPr>
          <w:rFonts w:ascii="Times New Roman" w:hAnsi="Times New Roman" w:cs="Times New Roman"/>
          <w:sz w:val="24"/>
          <w:szCs w:val="24"/>
        </w:rPr>
        <w:t xml:space="preserve"> </w:t>
      </w:r>
      <w:r w:rsidR="00DC3FC9" w:rsidRPr="00DC3FC9">
        <w:rPr>
          <w:rFonts w:ascii="Times New Roman" w:hAnsi="Times New Roman" w:cs="Times New Roman"/>
          <w:sz w:val="24"/>
          <w:szCs w:val="24"/>
        </w:rPr>
        <w:t>the period 2016-2020</w:t>
      </w:r>
      <w:r>
        <w:rPr>
          <w:rFonts w:ascii="Times New Roman" w:hAnsi="Times New Roman" w:cs="Times New Roman"/>
          <w:sz w:val="24"/>
          <w:szCs w:val="24"/>
        </w:rPr>
        <w:t>, t</w:t>
      </w:r>
      <w:r w:rsidR="00DC3FC9" w:rsidRPr="00DC3FC9">
        <w:rPr>
          <w:rFonts w:ascii="Times New Roman" w:hAnsi="Times New Roman" w:cs="Times New Roman"/>
          <w:sz w:val="24"/>
          <w:szCs w:val="24"/>
        </w:rPr>
        <w:t>he evaluation and screening envisaged in the programme is only a mechanism of short-listing projects for actual funding from the long list but does not contain mechanisms of funding alternative projects that are not included in the predefined long list</w:t>
      </w:r>
      <w:r w:rsidR="00DC3FC9">
        <w:rPr>
          <w:rFonts w:ascii="Times New Roman" w:hAnsi="Times New Roman" w:cs="Times New Roman"/>
          <w:sz w:val="24"/>
          <w:szCs w:val="24"/>
        </w:rPr>
        <w:t>.</w:t>
      </w:r>
    </w:p>
    <w:p w:rsidR="00DC3FC9" w:rsidRDefault="00DC3FC9" w:rsidP="000A35DE">
      <w:pPr>
        <w:spacing w:after="0" w:line="240" w:lineRule="auto"/>
        <w:jc w:val="both"/>
        <w:rPr>
          <w:rFonts w:ascii="Times New Roman" w:hAnsi="Times New Roman" w:cs="Times New Roman"/>
          <w:sz w:val="24"/>
          <w:szCs w:val="24"/>
        </w:rPr>
      </w:pPr>
    </w:p>
    <w:p w:rsidR="00A52C8B" w:rsidRDefault="00A52C8B" w:rsidP="000A35DE">
      <w:pPr>
        <w:spacing w:after="0" w:line="240" w:lineRule="auto"/>
        <w:jc w:val="both"/>
        <w:rPr>
          <w:rFonts w:ascii="Times New Roman" w:hAnsi="Times New Roman" w:cs="Times New Roman"/>
          <w:sz w:val="24"/>
          <w:szCs w:val="24"/>
        </w:rPr>
      </w:pPr>
      <w:r w:rsidRPr="00A52C8B">
        <w:rPr>
          <w:rFonts w:ascii="Times New Roman" w:hAnsi="Times New Roman" w:cs="Times New Roman"/>
          <w:sz w:val="24"/>
          <w:szCs w:val="24"/>
        </w:rPr>
        <w:t>Rather than following such a “linear paradigm”, the programme could try to reinforce the requirements for commercialization as an integral and essential element of the new innovation projects whereby the envisaged practical steps towards the market uptake of the R&amp;D results would have to be planned in advance. What is essential, however, is to incorporate in these instruments certain degrees of risk tolerance (in contrast to the current funding instruments supporting S&amp;T projects). As noted above, the absence of risk tolerance may discourage genuinely innovative project proposals from participating in the bids and hence result in adverse selection of projects for funding, biased towards low risk modernisation projects.</w:t>
      </w:r>
    </w:p>
    <w:p w:rsidR="00A52C8B" w:rsidRDefault="00A52C8B" w:rsidP="000A35DE">
      <w:pPr>
        <w:spacing w:after="0" w:line="240" w:lineRule="auto"/>
        <w:jc w:val="both"/>
        <w:rPr>
          <w:rFonts w:ascii="Times New Roman" w:hAnsi="Times New Roman" w:cs="Times New Roman"/>
          <w:sz w:val="24"/>
          <w:szCs w:val="24"/>
        </w:rPr>
      </w:pPr>
    </w:p>
    <w:p w:rsidR="00353BF9" w:rsidRPr="00353BF9" w:rsidRDefault="00353BF9" w:rsidP="00353BF9">
      <w:pPr>
        <w:spacing w:after="0" w:line="240" w:lineRule="auto"/>
        <w:jc w:val="both"/>
        <w:rPr>
          <w:rFonts w:ascii="Times New Roman" w:hAnsi="Times New Roman" w:cs="Times New Roman"/>
          <w:sz w:val="24"/>
          <w:szCs w:val="24"/>
        </w:rPr>
      </w:pPr>
      <w:r w:rsidRPr="00353BF9">
        <w:rPr>
          <w:rFonts w:ascii="Times New Roman" w:hAnsi="Times New Roman" w:cs="Times New Roman"/>
          <w:sz w:val="24"/>
          <w:szCs w:val="24"/>
        </w:rPr>
        <w:t>SPID contains also a number of broader objectives such as the further development of the NIS and innovation support institutions, the upgrading of innovation infrastructure, stimulating innovative entrepreneurship, etc. It also puts a special focus on the objective to raise the export activity of Belarusian firms</w:t>
      </w:r>
      <w:r>
        <w:rPr>
          <w:rFonts w:ascii="Times New Roman" w:hAnsi="Times New Roman" w:cs="Times New Roman"/>
          <w:sz w:val="24"/>
          <w:szCs w:val="24"/>
        </w:rPr>
        <w:t xml:space="preserve">. </w:t>
      </w:r>
      <w:r w:rsidRPr="00353BF9">
        <w:rPr>
          <w:rFonts w:ascii="Times New Roman" w:hAnsi="Times New Roman" w:cs="Times New Roman"/>
          <w:sz w:val="24"/>
          <w:szCs w:val="24"/>
        </w:rPr>
        <w:t>However it does not specify the policy and funding instruments for the pursuit of such broader objectives</w:t>
      </w:r>
      <w:r>
        <w:rPr>
          <w:rFonts w:ascii="Times New Roman" w:hAnsi="Times New Roman" w:cs="Times New Roman"/>
          <w:sz w:val="24"/>
          <w:szCs w:val="24"/>
        </w:rPr>
        <w:t xml:space="preserve">. </w:t>
      </w:r>
    </w:p>
    <w:p w:rsidR="00353BF9" w:rsidRPr="00353BF9" w:rsidRDefault="00353BF9" w:rsidP="00353BF9">
      <w:pPr>
        <w:spacing w:after="0" w:line="240" w:lineRule="auto"/>
        <w:jc w:val="both"/>
        <w:rPr>
          <w:rFonts w:ascii="Times New Roman" w:hAnsi="Times New Roman" w:cs="Times New Roman"/>
          <w:sz w:val="24"/>
          <w:szCs w:val="24"/>
        </w:rPr>
      </w:pPr>
    </w:p>
    <w:p w:rsidR="0049760F" w:rsidRDefault="00353BF9" w:rsidP="00353BF9">
      <w:pPr>
        <w:spacing w:after="0" w:line="240" w:lineRule="auto"/>
        <w:jc w:val="both"/>
        <w:rPr>
          <w:rFonts w:ascii="Times New Roman" w:hAnsi="Times New Roman" w:cs="Times New Roman"/>
          <w:sz w:val="24"/>
          <w:szCs w:val="24"/>
        </w:rPr>
      </w:pPr>
      <w:r w:rsidRPr="00353BF9">
        <w:rPr>
          <w:rFonts w:ascii="Times New Roman" w:hAnsi="Times New Roman" w:cs="Times New Roman"/>
          <w:sz w:val="24"/>
          <w:szCs w:val="24"/>
        </w:rPr>
        <w:t>It is expected that SPID will be predominantly financed by bank credit (some 2/3 of the total funding) and from the participating firms’ own sources (some 18</w:t>
      </w:r>
      <w:r w:rsidR="007300BB">
        <w:rPr>
          <w:rFonts w:ascii="Times New Roman" w:hAnsi="Times New Roman" w:cs="Times New Roman"/>
          <w:sz w:val="24"/>
          <w:szCs w:val="24"/>
        </w:rPr>
        <w:t xml:space="preserve"> per cent</w:t>
      </w:r>
      <w:r w:rsidRPr="00353BF9">
        <w:rPr>
          <w:rFonts w:ascii="Times New Roman" w:hAnsi="Times New Roman" w:cs="Times New Roman"/>
          <w:sz w:val="24"/>
          <w:szCs w:val="24"/>
        </w:rPr>
        <w:t xml:space="preserve"> of the total). However, such a distinction may be somewhat misleading as the majoring of commercial banks in Belarus are state-owned</w:t>
      </w:r>
      <w:r>
        <w:rPr>
          <w:rFonts w:ascii="Times New Roman" w:hAnsi="Times New Roman" w:cs="Times New Roman"/>
          <w:sz w:val="24"/>
          <w:szCs w:val="24"/>
        </w:rPr>
        <w:t xml:space="preserve">. </w:t>
      </w:r>
      <w:r w:rsidRPr="00353BF9">
        <w:rPr>
          <w:rFonts w:ascii="Times New Roman" w:hAnsi="Times New Roman" w:cs="Times New Roman"/>
          <w:sz w:val="24"/>
          <w:szCs w:val="24"/>
        </w:rPr>
        <w:t>Among the programmatic novelties in SPID 2016-2020 is the envisaged establishment of a centralized “innovation fund”</w:t>
      </w:r>
      <w:r>
        <w:rPr>
          <w:rFonts w:ascii="Times New Roman" w:hAnsi="Times New Roman" w:cs="Times New Roman"/>
          <w:sz w:val="24"/>
          <w:szCs w:val="24"/>
        </w:rPr>
        <w:t>, which</w:t>
      </w:r>
      <w:r w:rsidR="00D92E21">
        <w:rPr>
          <w:rFonts w:ascii="Times New Roman" w:hAnsi="Times New Roman" w:cs="Times New Roman"/>
          <w:sz w:val="24"/>
          <w:szCs w:val="24"/>
        </w:rPr>
        <w:t xml:space="preserve"> </w:t>
      </w:r>
      <w:r w:rsidRPr="00353BF9">
        <w:rPr>
          <w:rFonts w:ascii="Times New Roman" w:hAnsi="Times New Roman" w:cs="Times New Roman"/>
          <w:sz w:val="24"/>
          <w:szCs w:val="24"/>
        </w:rPr>
        <w:t xml:space="preserve">will be managed by </w:t>
      </w:r>
      <w:r w:rsidRPr="00353BF9">
        <w:rPr>
          <w:rFonts w:ascii="Times New Roman" w:hAnsi="Times New Roman" w:cs="Times New Roman"/>
          <w:sz w:val="24"/>
          <w:szCs w:val="24"/>
        </w:rPr>
        <w:lastRenderedPageBreak/>
        <w:t>SCST and will integrate the previously existing 25 sector</w:t>
      </w:r>
      <w:r w:rsidR="00CA0CDF">
        <w:rPr>
          <w:rFonts w:ascii="Times New Roman" w:hAnsi="Times New Roman" w:cs="Times New Roman"/>
          <w:sz w:val="24"/>
          <w:szCs w:val="24"/>
        </w:rPr>
        <w:t xml:space="preserve"> </w:t>
      </w:r>
      <w:r w:rsidRPr="00353BF9">
        <w:rPr>
          <w:rFonts w:ascii="Times New Roman" w:hAnsi="Times New Roman" w:cs="Times New Roman"/>
          <w:sz w:val="24"/>
          <w:szCs w:val="24"/>
        </w:rPr>
        <w:t>and 7 regional innovation funds which were launched in 2012</w:t>
      </w:r>
      <w:r w:rsidR="00877373">
        <w:rPr>
          <w:rFonts w:ascii="Times New Roman" w:hAnsi="Times New Roman" w:cs="Times New Roman"/>
          <w:sz w:val="24"/>
          <w:szCs w:val="24"/>
        </w:rPr>
        <w:t>.</w:t>
      </w:r>
    </w:p>
    <w:p w:rsidR="007F3A80" w:rsidRDefault="007F3A80" w:rsidP="00353BF9">
      <w:pPr>
        <w:spacing w:after="0" w:line="240" w:lineRule="auto"/>
        <w:jc w:val="both"/>
        <w:rPr>
          <w:rFonts w:ascii="Times New Roman" w:hAnsi="Times New Roman" w:cs="Times New Roman"/>
          <w:sz w:val="24"/>
          <w:szCs w:val="24"/>
        </w:rPr>
      </w:pPr>
    </w:p>
    <w:p w:rsidR="007F3A80" w:rsidRDefault="007F3A80" w:rsidP="007F3A80">
      <w:pPr>
        <w:spacing w:after="0" w:line="240" w:lineRule="auto"/>
        <w:jc w:val="both"/>
        <w:rPr>
          <w:rFonts w:ascii="Times New Roman" w:hAnsi="Times New Roman" w:cs="Times New Roman"/>
          <w:sz w:val="24"/>
          <w:szCs w:val="24"/>
        </w:rPr>
      </w:pPr>
      <w:r w:rsidRPr="007F3A80">
        <w:rPr>
          <w:rFonts w:ascii="Times New Roman" w:hAnsi="Times New Roman" w:cs="Times New Roman"/>
          <w:sz w:val="24"/>
          <w:szCs w:val="24"/>
        </w:rPr>
        <w:t>The further development of innovation support infrastructure remains a strategic direction in SPID 2016-2020</w:t>
      </w:r>
      <w:r>
        <w:rPr>
          <w:rFonts w:ascii="Times New Roman" w:hAnsi="Times New Roman" w:cs="Times New Roman"/>
          <w:sz w:val="24"/>
          <w:szCs w:val="24"/>
        </w:rPr>
        <w:t xml:space="preserve">, which </w:t>
      </w:r>
      <w:r w:rsidRPr="007F3A80">
        <w:rPr>
          <w:rFonts w:ascii="Times New Roman" w:hAnsi="Times New Roman" w:cs="Times New Roman"/>
          <w:sz w:val="24"/>
          <w:szCs w:val="24"/>
        </w:rPr>
        <w:t>envisages concrete plans for public investment in the development and modernization of six techno</w:t>
      </w:r>
      <w:r w:rsidR="00CA0CDF">
        <w:rPr>
          <w:rFonts w:ascii="Times New Roman" w:hAnsi="Times New Roman" w:cs="Times New Roman"/>
          <w:sz w:val="24"/>
          <w:szCs w:val="24"/>
        </w:rPr>
        <w:t>-</w:t>
      </w:r>
      <w:r w:rsidRPr="007F3A80">
        <w:rPr>
          <w:rFonts w:ascii="Times New Roman" w:hAnsi="Times New Roman" w:cs="Times New Roman"/>
          <w:sz w:val="24"/>
          <w:szCs w:val="24"/>
        </w:rPr>
        <w:t>parks in Belarus</w:t>
      </w:r>
      <w:r>
        <w:rPr>
          <w:rFonts w:ascii="Times New Roman" w:hAnsi="Times New Roman" w:cs="Times New Roman"/>
          <w:sz w:val="24"/>
          <w:szCs w:val="24"/>
        </w:rPr>
        <w:t xml:space="preserve">. </w:t>
      </w:r>
      <w:r w:rsidRPr="007F3A80">
        <w:rPr>
          <w:rFonts w:ascii="Times New Roman" w:hAnsi="Times New Roman" w:cs="Times New Roman"/>
          <w:sz w:val="24"/>
          <w:szCs w:val="24"/>
        </w:rPr>
        <w:t>At the same time, some important objectives and targets of SPID 2016-2020 remain in the “grey area” of ambiguous funding. Despite this declared intention, the programme does not envisage any concrete policy instruments to support innovative entrepreneurship and does not indicate specific public funds earmarked for this purpos</w:t>
      </w:r>
      <w:r>
        <w:rPr>
          <w:rFonts w:ascii="Times New Roman" w:hAnsi="Times New Roman" w:cs="Times New Roman"/>
          <w:sz w:val="24"/>
          <w:szCs w:val="24"/>
        </w:rPr>
        <w:t>e.</w:t>
      </w:r>
    </w:p>
    <w:p w:rsidR="007F3A80" w:rsidRDefault="007F3A80" w:rsidP="007F3A80">
      <w:pPr>
        <w:spacing w:after="0" w:line="240" w:lineRule="auto"/>
        <w:jc w:val="both"/>
        <w:rPr>
          <w:rFonts w:ascii="Times New Roman" w:hAnsi="Times New Roman" w:cs="Times New Roman"/>
          <w:sz w:val="24"/>
          <w:szCs w:val="24"/>
        </w:rPr>
      </w:pPr>
    </w:p>
    <w:p w:rsidR="00717C30" w:rsidRDefault="00A55538" w:rsidP="00717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17C30" w:rsidRPr="00717C30">
        <w:rPr>
          <w:rFonts w:ascii="Times New Roman" w:hAnsi="Times New Roman" w:cs="Times New Roman"/>
          <w:sz w:val="24"/>
          <w:szCs w:val="24"/>
        </w:rPr>
        <w:t>espite the upgrading of its status, SPID is not exhaustive in its coverage of innovation activity in the broader sense. Thus</w:t>
      </w:r>
      <w:r w:rsidR="00877373">
        <w:rPr>
          <w:rFonts w:ascii="Times New Roman" w:hAnsi="Times New Roman" w:cs="Times New Roman"/>
          <w:sz w:val="24"/>
          <w:szCs w:val="24"/>
        </w:rPr>
        <w:t>,</w:t>
      </w:r>
      <w:r w:rsidR="00717C30" w:rsidRPr="00717C30">
        <w:rPr>
          <w:rFonts w:ascii="Times New Roman" w:hAnsi="Times New Roman" w:cs="Times New Roman"/>
          <w:sz w:val="24"/>
          <w:szCs w:val="24"/>
        </w:rPr>
        <w:t xml:space="preserve"> key ingredients of the innovation process such as R&amp;D activities and their governance have been completely left out of the scope of SPID and are addressed by other policy documents. </w:t>
      </w:r>
      <w:r w:rsidR="00717C30">
        <w:rPr>
          <w:rFonts w:ascii="Times New Roman" w:hAnsi="Times New Roman" w:cs="Times New Roman"/>
          <w:sz w:val="24"/>
          <w:szCs w:val="24"/>
        </w:rPr>
        <w:t>S</w:t>
      </w:r>
      <w:r w:rsidR="00717C30" w:rsidRPr="00717C30">
        <w:rPr>
          <w:rFonts w:ascii="Times New Roman" w:hAnsi="Times New Roman" w:cs="Times New Roman"/>
          <w:sz w:val="24"/>
          <w:szCs w:val="24"/>
        </w:rPr>
        <w:t xml:space="preserve">cience and R&amp;D activities are governed by separate legislative documents via two types of funding programmes: 1) State programmes for scientific research (in the past also referred to as “fundamental research”) and 2) State science and technology programmes (in the past also referred to as “applied research”). Both types of programmes provide grant funding to R&amp;D projects in selected research areas in accordance with the policy priorities of the country in the respective funding period. </w:t>
      </w:r>
    </w:p>
    <w:p w:rsidR="008A039F" w:rsidRDefault="008A039F" w:rsidP="00717C30">
      <w:pPr>
        <w:spacing w:after="0" w:line="240" w:lineRule="auto"/>
        <w:jc w:val="both"/>
        <w:rPr>
          <w:rFonts w:ascii="Times New Roman" w:hAnsi="Times New Roman" w:cs="Times New Roman"/>
          <w:sz w:val="24"/>
          <w:szCs w:val="24"/>
        </w:rPr>
      </w:pPr>
    </w:p>
    <w:p w:rsidR="008A039F" w:rsidRPr="008A039F" w:rsidRDefault="008A039F" w:rsidP="008A0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p</w:t>
      </w:r>
      <w:r w:rsidRPr="008A039F">
        <w:rPr>
          <w:rFonts w:ascii="Times New Roman" w:hAnsi="Times New Roman" w:cs="Times New Roman"/>
          <w:sz w:val="24"/>
          <w:szCs w:val="24"/>
        </w:rPr>
        <w:t xml:space="preserve">olicy practice distinguishes between the so called “S&amp;T projects” (those that are governed by the state S&amp;T programmes) and “innovation projects” (those included in the SPID but also operated under other policy instruments – by BelInFund and, earlier, by the sectoral and regional innovation funds). </w:t>
      </w:r>
      <w:r>
        <w:rPr>
          <w:rFonts w:ascii="Times New Roman" w:hAnsi="Times New Roman" w:cs="Times New Roman"/>
          <w:sz w:val="24"/>
          <w:szCs w:val="24"/>
        </w:rPr>
        <w:t>However, a</w:t>
      </w:r>
      <w:r w:rsidRPr="008A039F">
        <w:rPr>
          <w:rFonts w:ascii="Times New Roman" w:hAnsi="Times New Roman" w:cs="Times New Roman"/>
          <w:sz w:val="24"/>
          <w:szCs w:val="24"/>
        </w:rPr>
        <w:t xml:space="preserve"> more in-depth look at the nature of the two types of projects would reveal that in many cases there is no difference in their nature while in other cases the current names are just misleading because de facto many of the “science and technology projects” are by their nature high risk innovation projects (bringing a new product to the market), while many “innovation projects” are just low risk investment projects targeting modernisation. </w:t>
      </w:r>
    </w:p>
    <w:p w:rsidR="008A039F" w:rsidRPr="008A039F" w:rsidRDefault="008A039F" w:rsidP="008A039F">
      <w:pPr>
        <w:spacing w:after="0" w:line="240" w:lineRule="auto"/>
        <w:jc w:val="both"/>
        <w:rPr>
          <w:rFonts w:ascii="Times New Roman" w:hAnsi="Times New Roman" w:cs="Times New Roman"/>
          <w:sz w:val="24"/>
          <w:szCs w:val="24"/>
        </w:rPr>
      </w:pPr>
    </w:p>
    <w:p w:rsidR="008A039F" w:rsidRDefault="008A039F" w:rsidP="008A039F">
      <w:pPr>
        <w:spacing w:after="0" w:line="240" w:lineRule="auto"/>
        <w:jc w:val="both"/>
        <w:rPr>
          <w:rFonts w:ascii="Times New Roman" w:hAnsi="Times New Roman" w:cs="Times New Roman"/>
          <w:sz w:val="24"/>
          <w:szCs w:val="24"/>
        </w:rPr>
      </w:pPr>
      <w:r w:rsidRPr="008A039F">
        <w:rPr>
          <w:rFonts w:ascii="Times New Roman" w:hAnsi="Times New Roman" w:cs="Times New Roman"/>
          <w:sz w:val="24"/>
          <w:szCs w:val="24"/>
        </w:rPr>
        <w:t>The existing categorisation also creates some confusion as regards the role of SPID as the main programmatic document for operationalizing innovation policy because, on the one hand, the “science and technology projects” that are key ingredients of innovation activity in the country are left out of its scope while, on the other hand, SPID caters to many projects that are in principle on the periphery of innovation activity.</w:t>
      </w:r>
    </w:p>
    <w:p w:rsidR="001C40E4" w:rsidRDefault="001C40E4" w:rsidP="008A039F">
      <w:pPr>
        <w:spacing w:after="0" w:line="240" w:lineRule="auto"/>
        <w:jc w:val="both"/>
        <w:rPr>
          <w:rFonts w:ascii="Times New Roman" w:hAnsi="Times New Roman" w:cs="Times New Roman"/>
          <w:sz w:val="24"/>
          <w:szCs w:val="24"/>
        </w:rPr>
      </w:pPr>
    </w:p>
    <w:p w:rsidR="001C40E4" w:rsidRDefault="001C40E4" w:rsidP="008A039F">
      <w:pPr>
        <w:spacing w:after="0" w:line="240" w:lineRule="auto"/>
        <w:jc w:val="both"/>
        <w:rPr>
          <w:rFonts w:ascii="Times New Roman" w:hAnsi="Times New Roman" w:cs="Times New Roman"/>
          <w:sz w:val="24"/>
          <w:szCs w:val="24"/>
        </w:rPr>
      </w:pPr>
      <w:r w:rsidRPr="001C40E4">
        <w:rPr>
          <w:rFonts w:ascii="Times New Roman" w:hAnsi="Times New Roman" w:cs="Times New Roman"/>
          <w:sz w:val="24"/>
          <w:szCs w:val="24"/>
        </w:rPr>
        <w:t>Another conceptual issue of chronic character is the lasting focus of innovation policy practice on technological innovation and little or no attention to other types of innovation. In recent years there have been certain shifts in the declared policy intentions as reflected in important policy documents such as SPID. The National Statistical Committee has also expanded the coverage of innovation and innovation activity in its innovation surveys in accordance with the Oslo Manual</w:t>
      </w:r>
      <w:r w:rsidR="004C6397">
        <w:rPr>
          <w:rFonts w:ascii="Times New Roman" w:hAnsi="Times New Roman" w:cs="Times New Roman"/>
          <w:sz w:val="24"/>
          <w:szCs w:val="24"/>
        </w:rPr>
        <w:t xml:space="preserve"> (see chapters 3 and 4)</w:t>
      </w:r>
      <w:r w:rsidRPr="001C40E4">
        <w:rPr>
          <w:rFonts w:ascii="Times New Roman" w:hAnsi="Times New Roman" w:cs="Times New Roman"/>
          <w:sz w:val="24"/>
          <w:szCs w:val="24"/>
        </w:rPr>
        <w:t>. However, the changed rhetoric has not been accompanied by matching changes in policy practice: all other types of innovation apart from technological innovation de facto still remain outside the outreach of the existing innovation policy instruments.</w:t>
      </w:r>
    </w:p>
    <w:p w:rsidR="00717C30" w:rsidRPr="00717C30" w:rsidRDefault="00717C30" w:rsidP="00717C30">
      <w:pPr>
        <w:spacing w:after="0" w:line="240" w:lineRule="auto"/>
        <w:jc w:val="both"/>
        <w:rPr>
          <w:rFonts w:ascii="Times New Roman" w:hAnsi="Times New Roman" w:cs="Times New Roman"/>
          <w:sz w:val="24"/>
          <w:szCs w:val="24"/>
        </w:rPr>
      </w:pPr>
    </w:p>
    <w:p w:rsidR="00717C30" w:rsidRDefault="00717C30" w:rsidP="00717C30">
      <w:pPr>
        <w:spacing w:after="0" w:line="240" w:lineRule="auto"/>
        <w:jc w:val="both"/>
        <w:rPr>
          <w:rFonts w:ascii="Times New Roman" w:hAnsi="Times New Roman" w:cs="Times New Roman"/>
          <w:sz w:val="24"/>
          <w:szCs w:val="24"/>
        </w:rPr>
      </w:pPr>
      <w:r w:rsidRPr="00717C30">
        <w:rPr>
          <w:rFonts w:ascii="Times New Roman" w:hAnsi="Times New Roman" w:cs="Times New Roman"/>
          <w:sz w:val="24"/>
          <w:szCs w:val="24"/>
        </w:rPr>
        <w:t xml:space="preserve">The formation of the actual programmes is preceded by a complex and staged foresight process with the participation of the National Academy of Sciences, other R&amp;D centres and </w:t>
      </w:r>
      <w:r w:rsidRPr="00717C30">
        <w:rPr>
          <w:rFonts w:ascii="Times New Roman" w:hAnsi="Times New Roman" w:cs="Times New Roman"/>
          <w:sz w:val="24"/>
          <w:szCs w:val="24"/>
        </w:rPr>
        <w:lastRenderedPageBreak/>
        <w:t>the government.  The funding of the two types of state R&amp;D programmes comes directly from the Republican budget and is not part of the public funding under SPID.</w:t>
      </w:r>
    </w:p>
    <w:p w:rsidR="00717C30" w:rsidRDefault="00717C30" w:rsidP="00717C30">
      <w:pPr>
        <w:spacing w:after="0" w:line="240" w:lineRule="auto"/>
        <w:jc w:val="both"/>
        <w:rPr>
          <w:rFonts w:ascii="Times New Roman" w:hAnsi="Times New Roman" w:cs="Times New Roman"/>
          <w:sz w:val="24"/>
          <w:szCs w:val="24"/>
        </w:rPr>
      </w:pPr>
    </w:p>
    <w:p w:rsidR="00605D17" w:rsidRDefault="0043174E" w:rsidP="00605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piece of legislation adopted in</w:t>
      </w:r>
      <w:r w:rsidR="00877373" w:rsidRPr="00877373">
        <w:rPr>
          <w:rFonts w:ascii="Times New Roman" w:hAnsi="Times New Roman" w:cs="Times New Roman"/>
          <w:sz w:val="24"/>
          <w:szCs w:val="24"/>
        </w:rPr>
        <w:t xml:space="preserve"> 2013 introduced new regulatory norms aimed at stimulating innovation activity and the commercialization of research results.</w:t>
      </w:r>
      <w:r w:rsidR="00605D17">
        <w:rPr>
          <w:rFonts w:ascii="Times New Roman" w:hAnsi="Times New Roman" w:cs="Times New Roman"/>
          <w:sz w:val="24"/>
          <w:szCs w:val="24"/>
        </w:rPr>
        <w:t xml:space="preserve"> </w:t>
      </w:r>
      <w:r w:rsidR="00605D17" w:rsidRPr="003523E2">
        <w:rPr>
          <w:rFonts w:ascii="Times New Roman" w:hAnsi="Times New Roman" w:cs="Times New Roman"/>
          <w:sz w:val="24"/>
          <w:szCs w:val="24"/>
        </w:rPr>
        <w:t>Presidential Edict No. 59 was a positive development in the regulation of ownership of the intellectual property rights stemming from the results of R&amp;D activity supported with public funds.</w:t>
      </w:r>
      <w:r w:rsidR="00605D17">
        <w:rPr>
          <w:rFonts w:ascii="Times New Roman" w:hAnsi="Times New Roman" w:cs="Times New Roman"/>
          <w:sz w:val="24"/>
          <w:szCs w:val="24"/>
        </w:rPr>
        <w:t xml:space="preserve"> Still, t</w:t>
      </w:r>
      <w:r w:rsidR="00605D17" w:rsidRPr="003523E2">
        <w:rPr>
          <w:rFonts w:ascii="Times New Roman" w:hAnsi="Times New Roman" w:cs="Times New Roman"/>
          <w:sz w:val="24"/>
          <w:szCs w:val="24"/>
        </w:rPr>
        <w:t xml:space="preserve">he unsettled legal status of IPRs is a major obstacle for the process of their further commercialization. </w:t>
      </w:r>
    </w:p>
    <w:p w:rsidR="004C6397" w:rsidRDefault="004C6397" w:rsidP="00605D17">
      <w:pPr>
        <w:spacing w:after="0" w:line="240" w:lineRule="auto"/>
        <w:jc w:val="both"/>
        <w:rPr>
          <w:rFonts w:ascii="Times New Roman" w:hAnsi="Times New Roman" w:cs="Times New Roman"/>
          <w:sz w:val="24"/>
          <w:szCs w:val="24"/>
        </w:rPr>
      </w:pPr>
    </w:p>
    <w:p w:rsidR="004C6397" w:rsidRDefault="004C6397" w:rsidP="004C63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523E2">
        <w:rPr>
          <w:rFonts w:ascii="Times New Roman" w:hAnsi="Times New Roman" w:cs="Times New Roman"/>
          <w:sz w:val="24"/>
          <w:szCs w:val="24"/>
        </w:rPr>
        <w:t xml:space="preserve">ractical experience since the introduction of Edict </w:t>
      </w:r>
      <w:r>
        <w:rPr>
          <w:rFonts w:ascii="Times New Roman" w:hAnsi="Times New Roman" w:cs="Times New Roman"/>
          <w:sz w:val="24"/>
          <w:szCs w:val="24"/>
        </w:rPr>
        <w:t xml:space="preserve">59 </w:t>
      </w:r>
      <w:r w:rsidRPr="003523E2">
        <w:rPr>
          <w:rFonts w:ascii="Times New Roman" w:hAnsi="Times New Roman" w:cs="Times New Roman"/>
          <w:sz w:val="24"/>
          <w:szCs w:val="24"/>
        </w:rPr>
        <w:t>has indicated that the regulatory norms contained in it are not sufficient for the efficient management of IPRs. In particular, these norms do not contain sufficient provisions for identifying the actual legal owners of the IPRs originating form R&amp;D activity supported by public funding. Due to the existing ambiguities, even the leading R&amp;D institutes performing S&amp;T projects under the state S&amp;T programmes still face difficulties in claiming legal ownership of such IPRs</w:t>
      </w:r>
      <w:r>
        <w:rPr>
          <w:rFonts w:ascii="Times New Roman" w:hAnsi="Times New Roman" w:cs="Times New Roman"/>
          <w:sz w:val="24"/>
          <w:szCs w:val="24"/>
        </w:rPr>
        <w:t>.</w:t>
      </w:r>
    </w:p>
    <w:p w:rsidR="004C6397" w:rsidRDefault="004C6397" w:rsidP="004C6397">
      <w:pPr>
        <w:spacing w:after="0" w:line="240" w:lineRule="auto"/>
        <w:jc w:val="both"/>
        <w:rPr>
          <w:rFonts w:ascii="Times New Roman" w:hAnsi="Times New Roman" w:cs="Times New Roman"/>
          <w:sz w:val="24"/>
          <w:szCs w:val="24"/>
        </w:rPr>
      </w:pPr>
    </w:p>
    <w:p w:rsidR="00605D17" w:rsidRDefault="00605D17" w:rsidP="00605D17">
      <w:pPr>
        <w:spacing w:after="0" w:line="240" w:lineRule="auto"/>
        <w:jc w:val="both"/>
        <w:rPr>
          <w:rFonts w:ascii="Times New Roman" w:hAnsi="Times New Roman" w:cs="Times New Roman"/>
          <w:sz w:val="24"/>
          <w:szCs w:val="24"/>
        </w:rPr>
      </w:pPr>
      <w:r w:rsidRPr="003523E2">
        <w:rPr>
          <w:rFonts w:ascii="Times New Roman" w:hAnsi="Times New Roman" w:cs="Times New Roman"/>
          <w:sz w:val="24"/>
          <w:szCs w:val="24"/>
        </w:rPr>
        <w:t>Thus while R&amp;D institutes are in principle entitled to the IPRs originating in R&amp;D activities they undertook, these institutes are not in a position to sell the IPRs or engage in follow-up commercialization activities with third parties as they cannot obtain the legal titles on these IPRs</w:t>
      </w:r>
      <w:r>
        <w:rPr>
          <w:rStyle w:val="a5"/>
          <w:rFonts w:ascii="Times New Roman" w:hAnsi="Times New Roman" w:cs="Times New Roman"/>
          <w:sz w:val="24"/>
          <w:szCs w:val="24"/>
        </w:rPr>
        <w:footnoteReference w:id="1"/>
      </w:r>
      <w:r w:rsidRPr="003523E2">
        <w:rPr>
          <w:rFonts w:ascii="Times New Roman" w:hAnsi="Times New Roman" w:cs="Times New Roman"/>
          <w:sz w:val="24"/>
          <w:szCs w:val="24"/>
        </w:rPr>
        <w:t>.</w:t>
      </w:r>
      <w:r>
        <w:rPr>
          <w:rFonts w:ascii="Times New Roman" w:hAnsi="Times New Roman" w:cs="Times New Roman"/>
          <w:sz w:val="24"/>
          <w:szCs w:val="24"/>
        </w:rPr>
        <w:t xml:space="preserve"> </w:t>
      </w:r>
      <w:r w:rsidRPr="003523E2">
        <w:rPr>
          <w:rFonts w:ascii="Times New Roman" w:hAnsi="Times New Roman" w:cs="Times New Roman"/>
          <w:sz w:val="24"/>
          <w:szCs w:val="24"/>
        </w:rPr>
        <w:t xml:space="preserve"> The experience of other countries indicates that properly settled IPR ownership for individual researchers and research teams has been a major driver of innovative entrepreneurship through the establishment of start</w:t>
      </w:r>
      <w:r w:rsidR="002C0D64">
        <w:rPr>
          <w:rFonts w:ascii="Times New Roman" w:hAnsi="Times New Roman" w:cs="Times New Roman"/>
          <w:sz w:val="24"/>
          <w:szCs w:val="24"/>
        </w:rPr>
        <w:t>-</w:t>
      </w:r>
      <w:r w:rsidRPr="003523E2">
        <w:rPr>
          <w:rFonts w:ascii="Times New Roman" w:hAnsi="Times New Roman" w:cs="Times New Roman"/>
          <w:sz w:val="24"/>
          <w:szCs w:val="24"/>
        </w:rPr>
        <w:t>ups and spinoffs based on such IPRs. Opening up the potential of this driver in Belarus could provide a much needed additional impetus to entrepreneurship and enterprise development in the country.</w:t>
      </w:r>
    </w:p>
    <w:p w:rsidR="00605D17" w:rsidRDefault="00605D17" w:rsidP="00877373">
      <w:pPr>
        <w:spacing w:after="0" w:line="240" w:lineRule="auto"/>
        <w:jc w:val="both"/>
        <w:rPr>
          <w:rFonts w:ascii="Times New Roman" w:hAnsi="Times New Roman" w:cs="Times New Roman"/>
          <w:sz w:val="24"/>
          <w:szCs w:val="24"/>
        </w:rPr>
      </w:pPr>
    </w:p>
    <w:p w:rsidR="00877373" w:rsidRPr="00877373" w:rsidRDefault="00605D17" w:rsidP="0087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Another Edict </w:t>
      </w:r>
      <w:r w:rsidR="0043174E">
        <w:rPr>
          <w:rFonts w:ascii="Times New Roman" w:hAnsi="Times New Roman" w:cs="Times New Roman"/>
          <w:sz w:val="24"/>
          <w:szCs w:val="24"/>
        </w:rPr>
        <w:t xml:space="preserve">of 2013 </w:t>
      </w:r>
      <w:r>
        <w:rPr>
          <w:rFonts w:ascii="Times New Roman" w:hAnsi="Times New Roman" w:cs="Times New Roman"/>
          <w:sz w:val="24"/>
          <w:szCs w:val="24"/>
        </w:rPr>
        <w:t xml:space="preserve">introduced </w:t>
      </w:r>
      <w:r w:rsidR="00877373" w:rsidRPr="00877373">
        <w:rPr>
          <w:rFonts w:ascii="Times New Roman" w:hAnsi="Times New Roman" w:cs="Times New Roman"/>
          <w:sz w:val="24"/>
          <w:szCs w:val="24"/>
        </w:rPr>
        <w:t>for the first time in Belarus the possibility to use public grant funding instruments (</w:t>
      </w:r>
      <w:r w:rsidR="00A55538">
        <w:rPr>
          <w:rFonts w:ascii="Times New Roman" w:hAnsi="Times New Roman" w:cs="Times New Roman"/>
          <w:sz w:val="24"/>
          <w:szCs w:val="24"/>
        </w:rPr>
        <w:t>innovation vouchers and grants)</w:t>
      </w:r>
      <w:r w:rsidR="00877373" w:rsidRPr="00877373">
        <w:rPr>
          <w:rFonts w:ascii="Times New Roman" w:hAnsi="Times New Roman" w:cs="Times New Roman"/>
          <w:sz w:val="24"/>
          <w:szCs w:val="24"/>
        </w:rPr>
        <w:t xml:space="preserve">. The new funding instruments are to be operated mainly by the Belarusian Innovation Foundation but also by the Belarusian Fund for Financial Support of Entrepreneurs (see below). </w:t>
      </w:r>
      <w:r w:rsidR="00877373">
        <w:rPr>
          <w:rFonts w:ascii="Times New Roman" w:hAnsi="Times New Roman" w:cs="Times New Roman"/>
          <w:sz w:val="24"/>
          <w:szCs w:val="24"/>
        </w:rPr>
        <w:t xml:space="preserve"> </w:t>
      </w:r>
    </w:p>
    <w:p w:rsidR="00877373" w:rsidRPr="00877373" w:rsidRDefault="00877373" w:rsidP="00877373">
      <w:pPr>
        <w:spacing w:after="0" w:line="240" w:lineRule="auto"/>
        <w:jc w:val="both"/>
        <w:rPr>
          <w:rFonts w:ascii="Times New Roman" w:hAnsi="Times New Roman" w:cs="Times New Roman"/>
          <w:sz w:val="24"/>
          <w:szCs w:val="24"/>
        </w:rPr>
      </w:pPr>
    </w:p>
    <w:p w:rsidR="00877373" w:rsidRPr="00877373" w:rsidRDefault="00877373" w:rsidP="00877373">
      <w:pPr>
        <w:spacing w:after="0" w:line="240" w:lineRule="auto"/>
        <w:jc w:val="both"/>
        <w:rPr>
          <w:rFonts w:ascii="Times New Roman" w:hAnsi="Times New Roman" w:cs="Times New Roman"/>
          <w:sz w:val="24"/>
          <w:szCs w:val="24"/>
        </w:rPr>
      </w:pPr>
      <w:r w:rsidRPr="00877373">
        <w:rPr>
          <w:rFonts w:ascii="Times New Roman" w:hAnsi="Times New Roman" w:cs="Times New Roman"/>
          <w:sz w:val="24"/>
          <w:szCs w:val="24"/>
        </w:rPr>
        <w:t>In 2014, the government of Belarus endorsed a policy document aimed at stimulating cluster development in the country, featuring clusters centred on innovation activity.  As with many other policy initiatives in Belarus, this document puts the emphasis on a top-down approach to the formation of industrial clusters with a leading role of the public sector and outlines a range of initiatives that public bodies are encouraged to undertake for the formation of innovation-centred clusters. The implied presumption is that large state-owned firms would take the lead and initiative in establishing such “clusters”.</w:t>
      </w:r>
    </w:p>
    <w:p w:rsidR="00877373" w:rsidRPr="00877373" w:rsidRDefault="00877373" w:rsidP="00877373">
      <w:pPr>
        <w:spacing w:after="0" w:line="240" w:lineRule="auto"/>
        <w:jc w:val="both"/>
        <w:rPr>
          <w:rFonts w:ascii="Times New Roman" w:hAnsi="Times New Roman" w:cs="Times New Roman"/>
          <w:sz w:val="24"/>
          <w:szCs w:val="24"/>
        </w:rPr>
      </w:pPr>
    </w:p>
    <w:p w:rsidR="00877373" w:rsidRDefault="0049518E" w:rsidP="0087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another new policy development with an impact on innovation policies was t</w:t>
      </w:r>
      <w:r w:rsidR="00877373" w:rsidRPr="00877373">
        <w:rPr>
          <w:rFonts w:ascii="Times New Roman" w:hAnsi="Times New Roman" w:cs="Times New Roman"/>
          <w:sz w:val="24"/>
          <w:szCs w:val="24"/>
        </w:rPr>
        <w:t>he recently adopted state programme on education and youth policy in 2016-2020 years</w:t>
      </w:r>
      <w:r>
        <w:rPr>
          <w:rFonts w:ascii="Times New Roman" w:hAnsi="Times New Roman" w:cs="Times New Roman"/>
          <w:sz w:val="24"/>
          <w:szCs w:val="24"/>
        </w:rPr>
        <w:t>. It</w:t>
      </w:r>
      <w:r w:rsidR="00877373" w:rsidRPr="00877373">
        <w:rPr>
          <w:rFonts w:ascii="Times New Roman" w:hAnsi="Times New Roman" w:cs="Times New Roman"/>
          <w:sz w:val="24"/>
          <w:szCs w:val="24"/>
        </w:rPr>
        <w:t xml:space="preserve"> places a special emphasis on better linking higher education, on the one hand, with the system of secondary education and, on the other hand on better matching university education with the needs of the society and the economy. The programme also calls for further alignment of curricula of university education in Belarus with international good practice.</w:t>
      </w:r>
    </w:p>
    <w:p w:rsidR="00877373" w:rsidRDefault="00877373" w:rsidP="00717C30">
      <w:pPr>
        <w:spacing w:after="0" w:line="240" w:lineRule="auto"/>
        <w:jc w:val="both"/>
        <w:rPr>
          <w:rFonts w:ascii="Times New Roman" w:hAnsi="Times New Roman" w:cs="Times New Roman"/>
          <w:sz w:val="24"/>
          <w:szCs w:val="24"/>
        </w:rPr>
      </w:pPr>
    </w:p>
    <w:p w:rsidR="00A55538" w:rsidRPr="00B0657A" w:rsidRDefault="00A55538" w:rsidP="00A55538">
      <w:pPr>
        <w:spacing w:after="0" w:line="240" w:lineRule="auto"/>
        <w:jc w:val="both"/>
        <w:rPr>
          <w:rFonts w:ascii="Times New Roman" w:hAnsi="Times New Roman" w:cs="Times New Roman"/>
          <w:sz w:val="24"/>
          <w:szCs w:val="24"/>
          <w:u w:val="single"/>
        </w:rPr>
      </w:pPr>
      <w:r w:rsidRPr="00B0657A">
        <w:rPr>
          <w:rFonts w:ascii="Times New Roman" w:hAnsi="Times New Roman" w:cs="Times New Roman"/>
          <w:sz w:val="24"/>
          <w:szCs w:val="24"/>
          <w:u w:val="single"/>
        </w:rPr>
        <w:t>National Innovation System and innovation governance: current state</w:t>
      </w:r>
    </w:p>
    <w:p w:rsidR="00A55538" w:rsidRPr="00A55538" w:rsidRDefault="00A55538" w:rsidP="00A55538">
      <w:pPr>
        <w:spacing w:after="0" w:line="240" w:lineRule="auto"/>
        <w:jc w:val="both"/>
        <w:rPr>
          <w:rFonts w:ascii="Times New Roman" w:hAnsi="Times New Roman" w:cs="Times New Roman"/>
          <w:sz w:val="24"/>
          <w:szCs w:val="24"/>
        </w:rPr>
      </w:pPr>
    </w:p>
    <w:p w:rsidR="00904176" w:rsidRDefault="00A55538" w:rsidP="00A52C8B">
      <w:pPr>
        <w:spacing w:after="0" w:line="240" w:lineRule="auto"/>
        <w:jc w:val="both"/>
      </w:pPr>
      <w:r w:rsidRPr="00A55538">
        <w:rPr>
          <w:rFonts w:ascii="Times New Roman" w:hAnsi="Times New Roman" w:cs="Times New Roman"/>
          <w:sz w:val="24"/>
          <w:szCs w:val="24"/>
        </w:rPr>
        <w:t xml:space="preserve">Belarus has a relatively well developed system of </w:t>
      </w:r>
      <w:r w:rsidRPr="00A55538">
        <w:rPr>
          <w:rFonts w:ascii="Times New Roman" w:hAnsi="Times New Roman" w:cs="Times New Roman"/>
          <w:sz w:val="24"/>
          <w:szCs w:val="24"/>
          <w:u w:val="single"/>
        </w:rPr>
        <w:t>public institutions</w:t>
      </w:r>
      <w:r w:rsidRPr="00A55538">
        <w:rPr>
          <w:rFonts w:ascii="Times New Roman" w:hAnsi="Times New Roman" w:cs="Times New Roman"/>
          <w:sz w:val="24"/>
          <w:szCs w:val="24"/>
        </w:rPr>
        <w:t xml:space="preserve"> supporting innovation activity which form the backbone of the National Innovation System (NIS). There we no radical changes in the composition of such public bodies compared to the situation in 2010</w:t>
      </w:r>
      <w:r w:rsidRPr="00A55538">
        <w:rPr>
          <w:rFonts w:ascii="Times New Roman" w:hAnsi="Times New Roman" w:cs="Times New Roman"/>
          <w:sz w:val="24"/>
          <w:szCs w:val="24"/>
          <w:vertAlign w:val="superscript"/>
        </w:rPr>
        <w:footnoteReference w:id="2"/>
      </w:r>
      <w:r w:rsidRPr="00A55538">
        <w:rPr>
          <w:rFonts w:ascii="Times New Roman" w:hAnsi="Times New Roman" w:cs="Times New Roman"/>
          <w:sz w:val="24"/>
          <w:szCs w:val="24"/>
        </w:rPr>
        <w:t xml:space="preserve">, however, there was some evolution in their functional responsibilities. </w:t>
      </w:r>
      <w:r w:rsidR="003523E2" w:rsidRPr="003523E2">
        <w:rPr>
          <w:rFonts w:ascii="Times New Roman" w:hAnsi="Times New Roman" w:cs="Times New Roman"/>
          <w:sz w:val="24"/>
          <w:szCs w:val="24"/>
        </w:rPr>
        <w:t>Many of the essential NIS building blocks are already in place, especially as regards the role of the public sector. The portfolio of policy instruments supporting innovation activity was enriched with new ones, specifically tailored to the specificity of early stage financing. The public bodies in the NIS have well defined functional responsibilities and roles in innovation governance.</w:t>
      </w:r>
      <w:r w:rsidR="00A52C8B" w:rsidRPr="00A52C8B">
        <w:t xml:space="preserve"> </w:t>
      </w:r>
      <w:r w:rsidR="00A52C8B" w:rsidRPr="00A52C8B">
        <w:rPr>
          <w:rFonts w:ascii="Times New Roman" w:hAnsi="Times New Roman" w:cs="Times New Roman"/>
          <w:sz w:val="24"/>
          <w:szCs w:val="24"/>
        </w:rPr>
        <w:t>In addition, the information brokerage functions performed by these institutions (such as support to R&amp;D and technology oriented forums, exhibitions, fairs, etc.) facilitate linkages and match-making between innovation stakeholders thus contributing to the generation of new business opportunities targeting innovation.</w:t>
      </w:r>
      <w:r w:rsidR="00904176" w:rsidRPr="00904176">
        <w:t xml:space="preserve"> </w:t>
      </w:r>
    </w:p>
    <w:p w:rsidR="00904176" w:rsidRDefault="00904176" w:rsidP="00A52C8B">
      <w:pPr>
        <w:spacing w:after="0" w:line="240" w:lineRule="auto"/>
        <w:jc w:val="both"/>
        <w:rPr>
          <w:rFonts w:ascii="Times New Roman" w:hAnsi="Times New Roman" w:cs="Times New Roman"/>
          <w:sz w:val="24"/>
          <w:szCs w:val="24"/>
        </w:rPr>
      </w:pPr>
    </w:p>
    <w:p w:rsidR="00A52C8B" w:rsidRDefault="00904176" w:rsidP="00A52C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p</w:t>
      </w:r>
      <w:r w:rsidRPr="00904176">
        <w:rPr>
          <w:rFonts w:ascii="Times New Roman" w:hAnsi="Times New Roman" w:cs="Times New Roman"/>
          <w:sz w:val="24"/>
          <w:szCs w:val="24"/>
        </w:rPr>
        <w:t>oor linkages and insufficient connectivity of innovation stakeholders and lacking spontaneous, bottom-up collaboration among them is probably one of the serious weaknesses in its functioning. At the same time, the current innovation policy mix in Belarus includes very few instruments addressing such systemic failures.  Enriching this portfolio could thus be one specific objective for the SPIP but, more generally, for innovation policy making in the country</w:t>
      </w:r>
      <w:r>
        <w:rPr>
          <w:rFonts w:ascii="Times New Roman" w:hAnsi="Times New Roman" w:cs="Times New Roman"/>
          <w:sz w:val="24"/>
          <w:szCs w:val="24"/>
        </w:rPr>
        <w:t>.</w:t>
      </w:r>
    </w:p>
    <w:p w:rsidR="00904176" w:rsidRPr="00A52C8B" w:rsidRDefault="00904176" w:rsidP="00A52C8B">
      <w:pPr>
        <w:spacing w:after="0" w:line="240" w:lineRule="auto"/>
        <w:jc w:val="both"/>
        <w:rPr>
          <w:rFonts w:ascii="Times New Roman" w:hAnsi="Times New Roman" w:cs="Times New Roman"/>
          <w:sz w:val="24"/>
          <w:szCs w:val="24"/>
        </w:rPr>
      </w:pPr>
    </w:p>
    <w:p w:rsidR="00A52C8B" w:rsidRPr="00A55538" w:rsidRDefault="00A52C8B" w:rsidP="00A55538">
      <w:pPr>
        <w:spacing w:after="0" w:line="240" w:lineRule="auto"/>
        <w:jc w:val="both"/>
        <w:rPr>
          <w:rFonts w:ascii="Times New Roman" w:hAnsi="Times New Roman" w:cs="Times New Roman"/>
          <w:sz w:val="24"/>
          <w:szCs w:val="24"/>
        </w:rPr>
      </w:pPr>
      <w:r w:rsidRPr="00A52C8B">
        <w:rPr>
          <w:rFonts w:ascii="Times New Roman" w:hAnsi="Times New Roman" w:cs="Times New Roman"/>
          <w:sz w:val="24"/>
          <w:szCs w:val="24"/>
        </w:rPr>
        <w:t>Belarus has an excellent record of openness and transparency as regards the documents reflecting public sector rules and regulations. All public bodies, including those dealing with innovation policy and its implementation, have very well organised websites which provide  easy access to all relevant documents. The enriching of the information content of the SCST and BelISA websites and the launching of the National S&amp;T Portal made an important contribution towards better informing innovation practitioners and entrepreneurs of the opportunities to implement and pursue their projects.</w:t>
      </w:r>
    </w:p>
    <w:p w:rsidR="00A55538" w:rsidRPr="00A55538" w:rsidRDefault="00A55538" w:rsidP="00A55538">
      <w:pPr>
        <w:spacing w:after="0" w:line="240" w:lineRule="auto"/>
        <w:jc w:val="both"/>
        <w:rPr>
          <w:rFonts w:ascii="Times New Roman" w:hAnsi="Times New Roman" w:cs="Times New Roman"/>
          <w:sz w:val="24"/>
          <w:szCs w:val="24"/>
        </w:rPr>
      </w:pPr>
    </w:p>
    <w:p w:rsidR="0072457D"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The State Committee for Science and Technology (SCST) is a public body under the Council of Ministers of the Republic of Belarus which is tasked with a range of important responsibilities in the area of innovation policy and governance</w:t>
      </w:r>
      <w:r>
        <w:rPr>
          <w:rFonts w:ascii="Times New Roman" w:hAnsi="Times New Roman" w:cs="Times New Roman"/>
          <w:sz w:val="24"/>
          <w:szCs w:val="24"/>
        </w:rPr>
        <w:t xml:space="preserve">. </w:t>
      </w:r>
      <w:r w:rsidRPr="00A55538">
        <w:rPr>
          <w:rFonts w:ascii="Times New Roman" w:hAnsi="Times New Roman" w:cs="Times New Roman"/>
          <w:sz w:val="24"/>
          <w:szCs w:val="24"/>
        </w:rPr>
        <w:t xml:space="preserve"> Following the adoption of the LSIPIA, SCST was mandated with additional responsibilities, including those related to the implementation of the SPID and the coordination of the “unified system of state scientific and state science and technology expertise”</w:t>
      </w:r>
      <w:r>
        <w:rPr>
          <w:rFonts w:ascii="Times New Roman" w:hAnsi="Times New Roman" w:cs="Times New Roman"/>
          <w:sz w:val="24"/>
          <w:szCs w:val="24"/>
        </w:rPr>
        <w:t>.</w:t>
      </w:r>
      <w:r w:rsidRPr="00A55538">
        <w:rPr>
          <w:rFonts w:ascii="Times New Roman" w:hAnsi="Times New Roman" w:cs="Times New Roman"/>
          <w:sz w:val="24"/>
          <w:szCs w:val="24"/>
        </w:rPr>
        <w:t xml:space="preserve"> The system is administratively managed by State Committee for Science and Technology while the National Academy of Sciences provides expert support. However, even after these changes, SCST has mostly coordinating functions in the area of policy implementation and almost no decision-making authority in this area. Importantly, SCST has no autonomous authority in the allocation of funds earmarked for S&amp;T and innovation activity, nor for the management of financial policy instruments in this area apart form a small budget for the funding of R&amp;D projects supporting its own activity. In reality, funding decision for projects under the state programmes are usually being taken as the outcome of complex bureaucratic processes involving a range of different public bodies </w:t>
      </w:r>
      <w:r>
        <w:rPr>
          <w:rFonts w:ascii="Times New Roman" w:hAnsi="Times New Roman" w:cs="Times New Roman"/>
          <w:sz w:val="24"/>
          <w:szCs w:val="24"/>
        </w:rPr>
        <w:t>with distributed authority,</w:t>
      </w:r>
      <w:r w:rsidRPr="00A55538">
        <w:rPr>
          <w:rFonts w:ascii="Times New Roman" w:hAnsi="Times New Roman" w:cs="Times New Roman"/>
          <w:sz w:val="24"/>
          <w:szCs w:val="24"/>
        </w:rPr>
        <w:t xml:space="preserve"> concentrated at higher levels of governance (the National Assembly, the President’s Office and the Council of Ministers).</w:t>
      </w:r>
    </w:p>
    <w:p w:rsid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lastRenderedPageBreak/>
        <w:t>In addition to its core functions, STSC also controls several subordinate bodies with related responsibilities. The Belarusian Institute of System Analysis and Information Support of S&amp;T Sphere (BelISA) is a research institute whose operations should support SCST in performing its core functions</w:t>
      </w:r>
      <w:r>
        <w:rPr>
          <w:rFonts w:ascii="Times New Roman" w:hAnsi="Times New Roman" w:cs="Times New Roman"/>
          <w:sz w:val="24"/>
          <w:szCs w:val="24"/>
        </w:rPr>
        <w:t>, including</w:t>
      </w:r>
      <w:r w:rsidRPr="00A55538">
        <w:rPr>
          <w:rFonts w:ascii="Times New Roman" w:hAnsi="Times New Roman" w:cs="Times New Roman"/>
          <w:sz w:val="24"/>
          <w:szCs w:val="24"/>
        </w:rPr>
        <w:t xml:space="preserve"> a system of monitoring the implementation of state R&amp;D programmes</w:t>
      </w:r>
      <w:r>
        <w:rPr>
          <w:rFonts w:ascii="Times New Roman" w:hAnsi="Times New Roman" w:cs="Times New Roman"/>
          <w:sz w:val="24"/>
          <w:szCs w:val="24"/>
        </w:rPr>
        <w:t>,</w:t>
      </w:r>
      <w:r w:rsidRPr="00A55538">
        <w:rPr>
          <w:rFonts w:ascii="Times New Roman" w:hAnsi="Times New Roman" w:cs="Times New Roman"/>
          <w:sz w:val="24"/>
          <w:szCs w:val="24"/>
        </w:rPr>
        <w:t xml:space="preserve"> information support for S&amp;T and innovation activities in Belarus</w:t>
      </w:r>
      <w:r>
        <w:rPr>
          <w:rFonts w:ascii="Times New Roman" w:hAnsi="Times New Roman" w:cs="Times New Roman"/>
          <w:sz w:val="24"/>
          <w:szCs w:val="24"/>
        </w:rPr>
        <w:t xml:space="preserve"> and</w:t>
      </w:r>
      <w:r w:rsidRPr="00A55538">
        <w:rPr>
          <w:rFonts w:ascii="Times New Roman" w:hAnsi="Times New Roman" w:cs="Times New Roman"/>
          <w:sz w:val="24"/>
          <w:szCs w:val="24"/>
        </w:rPr>
        <w:t xml:space="preserve"> support to Belarus’s international S&amp;T cooperation. </w:t>
      </w:r>
    </w:p>
    <w:p w:rsidR="00A55538" w:rsidRDefault="00A55538" w:rsidP="00A55538">
      <w:pPr>
        <w:spacing w:after="0" w:line="240" w:lineRule="auto"/>
        <w:jc w:val="both"/>
        <w:rPr>
          <w:rFonts w:ascii="Times New Roman" w:hAnsi="Times New Roman" w:cs="Times New Roman"/>
          <w:sz w:val="24"/>
          <w:szCs w:val="24"/>
        </w:rPr>
      </w:pPr>
    </w:p>
    <w:p w:rsid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The National Innovation Foundation (BelInFund) is a public body whose core mission is the support of innovative entrepreneurship in Belarus. BelInFund provides opportunities for early stage financing of innovative SMEs and entrepreneurs using budgetary funding.</w:t>
      </w:r>
      <w:r w:rsidR="00A52C8B" w:rsidRPr="00A52C8B">
        <w:t xml:space="preserve"> </w:t>
      </w:r>
      <w:r w:rsidR="00A52C8B" w:rsidRPr="00A52C8B">
        <w:rPr>
          <w:rFonts w:ascii="Times New Roman" w:hAnsi="Times New Roman" w:cs="Times New Roman"/>
          <w:sz w:val="24"/>
          <w:szCs w:val="24"/>
        </w:rPr>
        <w:t>An important and commendable recent initiative by SCST and BelInFund is the organisation of annual national competitions for innovative projects which target young innovators. These competitions promote awareness raising on innovative entrepreneurship among young people while the winners are awarded small grants to support their further work on the projects</w:t>
      </w:r>
      <w:r w:rsidR="00A52C8B">
        <w:rPr>
          <w:rFonts w:ascii="Times New Roman" w:hAnsi="Times New Roman" w:cs="Times New Roman"/>
          <w:sz w:val="24"/>
          <w:szCs w:val="24"/>
        </w:rPr>
        <w:t>.</w:t>
      </w:r>
    </w:p>
    <w:p w:rsidR="00A55538" w:rsidRDefault="00A55538" w:rsidP="00A55538">
      <w:pPr>
        <w:spacing w:after="0" w:line="240" w:lineRule="auto"/>
        <w:jc w:val="both"/>
        <w:rPr>
          <w:rFonts w:ascii="Times New Roman" w:hAnsi="Times New Roman" w:cs="Times New Roman"/>
          <w:sz w:val="24"/>
          <w:szCs w:val="24"/>
        </w:rPr>
      </w:pPr>
    </w:p>
    <w:p w:rsid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The National Center of Intellectual Property (NCIP) is a public body whose main mission is the implementation of public policy for the protection of intellectual property rights (IPR) in Belarus. </w:t>
      </w:r>
    </w:p>
    <w:p w:rsidR="00A55538" w:rsidRPr="00A55538" w:rsidRDefault="00A55538" w:rsidP="00A55538">
      <w:pPr>
        <w:spacing w:after="0" w:line="240" w:lineRule="auto"/>
        <w:jc w:val="both"/>
        <w:rPr>
          <w:rFonts w:ascii="Times New Roman" w:hAnsi="Times New Roman" w:cs="Times New Roman"/>
          <w:sz w:val="24"/>
          <w:szCs w:val="24"/>
        </w:rPr>
      </w:pPr>
    </w:p>
    <w:p w:rsid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The National Academy of Sciences of Belarus (NAS) is a complex hierarchical structure which brings together the most important R&amp;D organisations in the country. The organisational structure of NAS includes some 70 research organisations as well as a number of laboratories, design bureaus, production facilities, experimental stations and other support bodies. Formally NAS has a very high administrative status, equivalent to that of a ministry: it reports directly to the President of the Republic of Belarus and the Council of Ministers. </w:t>
      </w:r>
    </w:p>
    <w:p w:rsidR="005E2B00" w:rsidRPr="00A55538" w:rsidRDefault="005E2B00"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An important recent trend in NAS’s overall activity has been the increasing emphasis on the commercialization of some of its R&amp;D results. This matches a similar change in the general orientation of Belarus’s S&amp;T and innovation policy as reflected in some of the recent legislative and regulatory changes. Thus the existing downstream production facilities within NAS</w:t>
      </w:r>
      <w:r w:rsidR="005E2B00">
        <w:rPr>
          <w:rFonts w:ascii="Times New Roman" w:hAnsi="Times New Roman" w:cs="Times New Roman"/>
          <w:sz w:val="24"/>
          <w:szCs w:val="24"/>
        </w:rPr>
        <w:t>,</w:t>
      </w:r>
      <w:r w:rsidRPr="00A55538">
        <w:rPr>
          <w:rFonts w:ascii="Times New Roman" w:hAnsi="Times New Roman" w:cs="Times New Roman"/>
          <w:sz w:val="24"/>
          <w:szCs w:val="24"/>
        </w:rPr>
        <w:t xml:space="preserve"> established with the specific purpose to commercialize NAS R&amp;D results</w:t>
      </w:r>
      <w:r w:rsidR="005E2B00">
        <w:rPr>
          <w:rFonts w:ascii="Times New Roman" w:hAnsi="Times New Roman" w:cs="Times New Roman"/>
          <w:sz w:val="24"/>
          <w:szCs w:val="24"/>
        </w:rPr>
        <w:t>,</w:t>
      </w:r>
      <w:r w:rsidRPr="00A55538">
        <w:rPr>
          <w:rFonts w:ascii="Times New Roman" w:hAnsi="Times New Roman" w:cs="Times New Roman"/>
          <w:sz w:val="24"/>
          <w:szCs w:val="24"/>
        </w:rPr>
        <w:t xml:space="preserve"> have been steadily growing in size and in the volume of their commercial output. Another recent development has been the formation of a number of “clusters”, in response to the recent government policy initiative to support cluster</w:t>
      </w:r>
      <w:r w:rsidR="005E2B00">
        <w:rPr>
          <w:rFonts w:ascii="Times New Roman" w:hAnsi="Times New Roman" w:cs="Times New Roman"/>
          <w:sz w:val="24"/>
          <w:szCs w:val="24"/>
        </w:rPr>
        <w:t xml:space="preserve"> development. Ma</w:t>
      </w:r>
      <w:r w:rsidRPr="00A55538">
        <w:rPr>
          <w:rFonts w:ascii="Times New Roman" w:hAnsi="Times New Roman" w:cs="Times New Roman"/>
          <w:sz w:val="24"/>
          <w:szCs w:val="24"/>
        </w:rPr>
        <w:t xml:space="preserve">ny of the NAS research institutes have initiated the formation of their own “clusters” with the participation of businesses with which they have been cooperating traditionally. Reportedly, at the time of writing, some 72 “clusters” were already established or were in the process of being established, with the participation of NAS R&amp;D organisations. These shifts in NAS activity have also associated with changes in the structure and sources of NAS funding, with growing emphasis on NAS’s self-funding.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The entire system of education, including higher education, in Belarus falls under the functional responsibilities of the Ministry of Education. At present, there are 53 higher education institutions in Belarus among which there are 9 private universities. The number of university students in recent years has been on the decline, matching the decli</w:t>
      </w:r>
      <w:r w:rsidR="005E2B00">
        <w:rPr>
          <w:rFonts w:ascii="Times New Roman" w:hAnsi="Times New Roman" w:cs="Times New Roman"/>
          <w:sz w:val="24"/>
          <w:szCs w:val="24"/>
        </w:rPr>
        <w:t>ne in the country’s population</w:t>
      </w:r>
      <w:r w:rsidRPr="00A55538">
        <w:rPr>
          <w:rFonts w:ascii="Times New Roman" w:hAnsi="Times New Roman" w:cs="Times New Roman"/>
          <w:sz w:val="24"/>
          <w:szCs w:val="24"/>
        </w:rPr>
        <w:t xml:space="preserve">.  Within the Ministry of Education there is a Department on Science and Innovation, whose main functional responsibility is the practical implementation of public S&amp;T and innovation policy within the Belarus’s education system as well as the establishment of specific incentives promoting innovative activity in educational institutions.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lastRenderedPageBreak/>
        <w:t xml:space="preserve">The Ministry of the Economy is another public body which is mandated with some responsibilities that have an effect on innovation activity. These include participation in the formulation of public S&amp;T and innovation policy as well as the related legislation and regulation and the state R&amp;D programmes. The ministry has a Department of Science and Innovation Activity which coordinates the implementation of such responsibilities within the ministry.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Given the complex structure of public bodies with distribute</w:t>
      </w:r>
      <w:r w:rsidR="00D57D0C">
        <w:rPr>
          <w:rFonts w:ascii="Times New Roman" w:hAnsi="Times New Roman" w:cs="Times New Roman"/>
          <w:sz w:val="24"/>
          <w:szCs w:val="24"/>
        </w:rPr>
        <w:t>d</w:t>
      </w:r>
      <w:r w:rsidRPr="00A55538">
        <w:rPr>
          <w:rFonts w:ascii="Times New Roman" w:hAnsi="Times New Roman" w:cs="Times New Roman"/>
          <w:sz w:val="24"/>
          <w:szCs w:val="24"/>
        </w:rPr>
        <w:t xml:space="preserve"> responsibilities in the conduct of S&amp;T and innovation policy, </w:t>
      </w:r>
      <w:r w:rsidRPr="009B57C2">
        <w:rPr>
          <w:rFonts w:ascii="Times New Roman" w:hAnsi="Times New Roman" w:cs="Times New Roman"/>
          <w:i/>
          <w:sz w:val="24"/>
          <w:szCs w:val="24"/>
        </w:rPr>
        <w:t>innovation governance</w:t>
      </w:r>
      <w:r w:rsidRPr="00A55538">
        <w:rPr>
          <w:rFonts w:ascii="Times New Roman" w:hAnsi="Times New Roman" w:cs="Times New Roman"/>
          <w:sz w:val="24"/>
          <w:szCs w:val="24"/>
        </w:rPr>
        <w:t xml:space="preserve"> in Belarus is a challenging issue. The specificity of Belarus’s policy-making process, which is dominated by the top-down administrative approach, has laid its footprint on innovation governance as well. More often than not, such decision-making is preceded by a lengthy and cumbersome preparatory bureaucratic processing by the institutions involved.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Funding of “scientific research” and “science and technology” projects is done on the basis of bids which are in principle open to local R&amp;D institutes (mostly from the Academy of Sciences but also sectoral R&amp;D institutes and companies). However, another specificity of the Belarusian practice of R&amp;D funding is that the prospective “leading organisations” for the implementation of each “scientific research” and “science and technology” programme are already pre-selected and listed in the respective government decrees approving the programmes. This approach to a large degree predetermines that the leading organisations would also host a large share of the funded projects and, respectively, would receive the bulk of the budget funding allocated to the respective programme.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The public funding of concrete projects under these programmes, as well as those under SPID, comes either directly from the Republican budget or indirectly, through the innovation funds, which are also sourced by the budget. </w:t>
      </w:r>
      <w:r w:rsidR="005E2B00">
        <w:rPr>
          <w:rFonts w:ascii="Times New Roman" w:hAnsi="Times New Roman" w:cs="Times New Roman"/>
          <w:sz w:val="24"/>
          <w:szCs w:val="24"/>
        </w:rPr>
        <w:t>T</w:t>
      </w:r>
      <w:r w:rsidRPr="00A55538">
        <w:rPr>
          <w:rFonts w:ascii="Times New Roman" w:hAnsi="Times New Roman" w:cs="Times New Roman"/>
          <w:sz w:val="24"/>
          <w:szCs w:val="24"/>
        </w:rPr>
        <w:t xml:space="preserve">he intention of Belarusian policy makers is to mobilise and channel significant amounts of business investment (including FDI) towards the implementation of R&amp;D and innovation projects. Another mechanism of attracting business investment into this sphere, more specifically, for the early stage financing of innovative companies which is now being operationalized is through the newly established (with public support) venture funds. </w:t>
      </w:r>
    </w:p>
    <w:p w:rsidR="00A55538" w:rsidRPr="00A55538" w:rsidRDefault="00A55538" w:rsidP="00A55538">
      <w:pPr>
        <w:spacing w:after="0" w:line="240" w:lineRule="auto"/>
        <w:jc w:val="both"/>
        <w:rPr>
          <w:rFonts w:ascii="Times New Roman" w:hAnsi="Times New Roman" w:cs="Times New Roman"/>
          <w:sz w:val="24"/>
          <w:szCs w:val="24"/>
        </w:rPr>
      </w:pPr>
    </w:p>
    <w:p w:rsidR="003523E2"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Following a historic tradition, the budget funds supporting concrete projects under different state support programmes are pre-allocated to different ministries and other public bodies who act as the “principals” of the respective programmes. </w:t>
      </w:r>
    </w:p>
    <w:p w:rsidR="003523E2" w:rsidRDefault="003523E2"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Upon successful screening and evaluation, public funding is extended in the form of grants. To be eligible for funding, S&amp;T project consortia under the state S&amp;T programmes must include both R&amp;D organisations and business partner(s) from the industry. Besides, the business partner must take the commitment for commercializing of the R&amp;D result or technology. The business partners in S&amp;T projects are strongly encouraged to co-finance the project with up to 50</w:t>
      </w:r>
      <w:r w:rsidR="007300BB">
        <w:rPr>
          <w:rFonts w:ascii="Times New Roman" w:hAnsi="Times New Roman" w:cs="Times New Roman"/>
          <w:sz w:val="24"/>
          <w:szCs w:val="24"/>
        </w:rPr>
        <w:t xml:space="preserve"> per cent</w:t>
      </w:r>
      <w:r w:rsidRPr="00A55538">
        <w:rPr>
          <w:rFonts w:ascii="Times New Roman" w:hAnsi="Times New Roman" w:cs="Times New Roman"/>
          <w:sz w:val="24"/>
          <w:szCs w:val="24"/>
        </w:rPr>
        <w:t xml:space="preserve"> of the total costs.</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While public funding is extended in the form of grants both for scientific research and for S&amp;T projects, S&amp;T projects have an important contractual distinction. In case the project partners fail to implement the commercialization phase, the consortium must repay the whole grant funding received for the project. This very strong commercialization pressure and the absence of risk-mitigating financial mechanisms in the now existing instruments create </w:t>
      </w:r>
      <w:r w:rsidRPr="00A55538">
        <w:rPr>
          <w:rFonts w:ascii="Times New Roman" w:hAnsi="Times New Roman" w:cs="Times New Roman"/>
          <w:sz w:val="24"/>
          <w:szCs w:val="24"/>
        </w:rPr>
        <w:lastRenderedPageBreak/>
        <w:t>distortions and a selection bias both in the phase of project design and during the screening and ex ante evaluation of proposals.</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Belarus is a small open economy and efficient </w:t>
      </w:r>
      <w:r w:rsidRPr="00A55538">
        <w:rPr>
          <w:rFonts w:ascii="Times New Roman" w:hAnsi="Times New Roman" w:cs="Times New Roman"/>
          <w:sz w:val="24"/>
          <w:szCs w:val="24"/>
          <w:u w:val="single"/>
        </w:rPr>
        <w:t>international S&amp;T and economic cooperation</w:t>
      </w:r>
      <w:r w:rsidRPr="00A55538">
        <w:rPr>
          <w:rFonts w:ascii="Times New Roman" w:hAnsi="Times New Roman" w:cs="Times New Roman"/>
          <w:sz w:val="24"/>
          <w:szCs w:val="24"/>
        </w:rPr>
        <w:t xml:space="preserve"> are essential for a well-functioning NIS. To facilitate international S&amp;T&amp;I cooperation, SCST and the Belarusian Institute of System Analysis and Information Support of S&amp;T Sphere (BelISA) recently launched a National S&amp;T Portal which provides comprehensive information on the existing international cooperation agreements to which Belarus is party (at present Belarus is party to 56 such agreements) and the acting regulatory framework for such cooperation. </w:t>
      </w:r>
    </w:p>
    <w:p w:rsidR="00A55538" w:rsidRPr="00A55538" w:rsidRDefault="00A55538" w:rsidP="00A55538">
      <w:pPr>
        <w:spacing w:after="0" w:line="240" w:lineRule="auto"/>
        <w:jc w:val="both"/>
        <w:rPr>
          <w:rFonts w:ascii="Times New Roman" w:hAnsi="Times New Roman" w:cs="Times New Roman"/>
          <w:sz w:val="24"/>
          <w:szCs w:val="24"/>
        </w:rPr>
      </w:pPr>
    </w:p>
    <w:p w:rsidR="007F4352" w:rsidRDefault="007F4352" w:rsidP="007F4352">
      <w:pPr>
        <w:spacing w:after="0" w:line="240" w:lineRule="auto"/>
        <w:jc w:val="both"/>
        <w:rPr>
          <w:rFonts w:ascii="Times New Roman" w:hAnsi="Times New Roman" w:cs="Times New Roman"/>
          <w:sz w:val="24"/>
          <w:szCs w:val="24"/>
        </w:rPr>
      </w:pPr>
      <w:r w:rsidRPr="00877373">
        <w:rPr>
          <w:rFonts w:ascii="Times New Roman" w:hAnsi="Times New Roman" w:cs="Times New Roman"/>
          <w:sz w:val="24"/>
          <w:szCs w:val="24"/>
        </w:rPr>
        <w:t>In principle, SME development is also a declared policy priority embodied in the state programmes on SME entrepreneurship in Belarus.  Most of this support takes the form of the organisation of forums, exhibitions, fairs, and other forms of information brokerage which facilitate inter-firm linkages and linkages between industry and R&amp;D institutions. There are also some limited sources of financial support for SME development (in the form of repayable loans) through the Belarusian Fund for Financial Support of Entrepreneurs.</w:t>
      </w:r>
      <w:r w:rsidRPr="007F4352">
        <w:t xml:space="preserve"> </w:t>
      </w:r>
      <w:r w:rsidR="00D57D0C">
        <w:rPr>
          <w:rFonts w:ascii="Times New Roman" w:hAnsi="Times New Roman" w:cs="Times New Roman"/>
          <w:sz w:val="24"/>
          <w:szCs w:val="24"/>
        </w:rPr>
        <w:t>However,</w:t>
      </w:r>
      <w:r w:rsidRPr="007F4352">
        <w:rPr>
          <w:rFonts w:ascii="Times New Roman" w:hAnsi="Times New Roman" w:cs="Times New Roman"/>
          <w:sz w:val="24"/>
          <w:szCs w:val="24"/>
        </w:rPr>
        <w:t xml:space="preserve"> due to the limited amounts of funding and the nature of the funding opportunities, in reality only a handful of entrepreneurs have access to financial support for the implementation of innovative projects. </w:t>
      </w:r>
    </w:p>
    <w:p w:rsidR="007F4352" w:rsidRDefault="007F4352" w:rsidP="007F4352">
      <w:pPr>
        <w:spacing w:after="0" w:line="240" w:lineRule="auto"/>
        <w:jc w:val="both"/>
        <w:rPr>
          <w:rFonts w:ascii="Times New Roman" w:hAnsi="Times New Roman" w:cs="Times New Roman"/>
          <w:sz w:val="24"/>
          <w:szCs w:val="24"/>
        </w:rPr>
      </w:pPr>
    </w:p>
    <w:p w:rsidR="007F4352" w:rsidRDefault="007F4352" w:rsidP="007F4352">
      <w:pPr>
        <w:spacing w:after="0" w:line="240" w:lineRule="auto"/>
        <w:jc w:val="both"/>
        <w:rPr>
          <w:rFonts w:ascii="Times New Roman" w:hAnsi="Times New Roman" w:cs="Times New Roman"/>
          <w:sz w:val="24"/>
          <w:szCs w:val="24"/>
        </w:rPr>
      </w:pPr>
      <w:r w:rsidRPr="007F4352">
        <w:rPr>
          <w:rFonts w:ascii="Times New Roman" w:hAnsi="Times New Roman" w:cs="Times New Roman"/>
          <w:sz w:val="24"/>
          <w:szCs w:val="24"/>
        </w:rPr>
        <w:t>Best international practice suggests that funding in the earliest (pre-seed and seed) stages of innovative project should be in the form of grants or equity financing rather than repayable credit. But, as noted, the practice of innovation vouchers and grants and equity support in Belarus are still in an experimental phase</w:t>
      </w:r>
      <w:r>
        <w:rPr>
          <w:rFonts w:ascii="Times New Roman" w:hAnsi="Times New Roman" w:cs="Times New Roman"/>
          <w:sz w:val="24"/>
          <w:szCs w:val="24"/>
        </w:rPr>
        <w:t>.</w:t>
      </w:r>
    </w:p>
    <w:p w:rsidR="00832929" w:rsidRDefault="00832929" w:rsidP="007F4352">
      <w:pPr>
        <w:spacing w:after="0" w:line="240" w:lineRule="auto"/>
        <w:jc w:val="both"/>
        <w:rPr>
          <w:rFonts w:ascii="Times New Roman" w:hAnsi="Times New Roman" w:cs="Times New Roman"/>
          <w:sz w:val="24"/>
          <w:szCs w:val="24"/>
        </w:rPr>
      </w:pPr>
    </w:p>
    <w:p w:rsidR="00832929" w:rsidRPr="003523E2" w:rsidRDefault="00832929" w:rsidP="00832929">
      <w:pPr>
        <w:spacing w:after="0" w:line="240" w:lineRule="auto"/>
        <w:jc w:val="both"/>
        <w:rPr>
          <w:rFonts w:ascii="Times New Roman" w:hAnsi="Times New Roman" w:cs="Times New Roman"/>
          <w:sz w:val="24"/>
          <w:szCs w:val="24"/>
        </w:rPr>
      </w:pPr>
      <w:r w:rsidRPr="003523E2">
        <w:rPr>
          <w:rFonts w:ascii="Times New Roman" w:hAnsi="Times New Roman" w:cs="Times New Roman"/>
          <w:sz w:val="24"/>
          <w:szCs w:val="24"/>
        </w:rPr>
        <w:t>In advanced economies, the private sector also plays an important role in early stage financing. In Belarus, this type of activity is still in its embryonic form. The Business Angels and Venture Investors Network has been in existence in Belarus since 2010 but the cases of actual business angel and venture investment have only been episodic. Some innovation support institutions such as the High Technology Park also provide support services in this area such as match-making between startup firms and prospective private investors. Best international practice suggests that public policy can serve as a catalyst for the invigoration of private early stage financing though appropriate intervention, in particular, through targeted tax incentives.</w:t>
      </w:r>
    </w:p>
    <w:p w:rsidR="00832929" w:rsidRPr="003523E2" w:rsidRDefault="00832929" w:rsidP="00832929">
      <w:pPr>
        <w:spacing w:after="0" w:line="240" w:lineRule="auto"/>
        <w:jc w:val="both"/>
        <w:rPr>
          <w:rFonts w:ascii="Times New Roman" w:hAnsi="Times New Roman" w:cs="Times New Roman"/>
          <w:sz w:val="24"/>
          <w:szCs w:val="24"/>
        </w:rPr>
      </w:pPr>
    </w:p>
    <w:p w:rsidR="00832929" w:rsidRPr="003523E2" w:rsidRDefault="00832929" w:rsidP="00832929">
      <w:pPr>
        <w:spacing w:after="0" w:line="240" w:lineRule="auto"/>
        <w:jc w:val="both"/>
        <w:rPr>
          <w:rFonts w:ascii="Times New Roman" w:hAnsi="Times New Roman" w:cs="Times New Roman"/>
          <w:sz w:val="24"/>
          <w:szCs w:val="24"/>
        </w:rPr>
      </w:pPr>
      <w:r w:rsidRPr="003523E2">
        <w:rPr>
          <w:rFonts w:ascii="Times New Roman" w:hAnsi="Times New Roman" w:cs="Times New Roman"/>
          <w:sz w:val="24"/>
          <w:szCs w:val="24"/>
        </w:rPr>
        <w:t>Another underdeveloped area in the NIS is that of its internal connectivity and the effectiveness of linkages which are also related to the issue of the competitive market environment.</w:t>
      </w:r>
      <w:r w:rsidR="00EC092B" w:rsidRPr="00EC092B">
        <w:t xml:space="preserve"> </w:t>
      </w:r>
      <w:r w:rsidR="00EC092B" w:rsidRPr="00EC092B">
        <w:rPr>
          <w:rFonts w:ascii="Times New Roman" w:hAnsi="Times New Roman" w:cs="Times New Roman"/>
          <w:sz w:val="24"/>
          <w:szCs w:val="24"/>
        </w:rPr>
        <w:t>Best international practice suggests that some policy instruments can be specifically designed or amended to address such systemic failures, for example, by making the funding of a project conditional on attributes such as connectivity, linkages, stakeholder collaboration. Plus, the explicit requirement to include in the project work programme both the R&amp;D part and the commercialization of its results provides an additional impetus to downstream connectivity.</w:t>
      </w:r>
    </w:p>
    <w:p w:rsidR="00832929" w:rsidRDefault="00832929" w:rsidP="007F4352">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 xml:space="preserve">An important recent integrative development of a more general nature involving Belarus was the establishment in 2014-2015 of the Eurasian Economic Union. The operational regulatory supranational body of the Union is the Eurasian Economic Commission modelled after the European Commission. One of the first practical cooperative steps in the area of innovation support was the establishment of the Eurasian Venture Company “Center for High </w:t>
      </w:r>
      <w:r w:rsidRPr="00A55538">
        <w:rPr>
          <w:rFonts w:ascii="Times New Roman" w:hAnsi="Times New Roman" w:cs="Times New Roman"/>
          <w:sz w:val="24"/>
          <w:szCs w:val="24"/>
        </w:rPr>
        <w:lastRenderedPageBreak/>
        <w:t xml:space="preserve">Technologies”. Its mission is to support high-growth early stage high-tech innovative companies targeting the market of the Eurasian Union. </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b/>
          <w:sz w:val="24"/>
          <w:szCs w:val="24"/>
        </w:rPr>
      </w:pPr>
      <w:r w:rsidRPr="00A55538">
        <w:rPr>
          <w:rFonts w:ascii="Times New Roman" w:hAnsi="Times New Roman" w:cs="Times New Roman"/>
          <w:sz w:val="24"/>
          <w:szCs w:val="24"/>
        </w:rPr>
        <w:t>In addition to that, Belarus participates in the CIS intergovernmental programme of cooperation in the area of innovation until the year 2020. However, this programme is mostly of coordinating nature based on the S&amp;T&amp;I programmes of participant countries and until now has not put forward new international policy instruments or funding sources.</w:t>
      </w:r>
    </w:p>
    <w:p w:rsidR="00A55538" w:rsidRPr="00A55538" w:rsidRDefault="00A55538" w:rsidP="00A55538">
      <w:pPr>
        <w:spacing w:after="0" w:line="240" w:lineRule="auto"/>
        <w:jc w:val="both"/>
        <w:rPr>
          <w:rFonts w:ascii="Times New Roman" w:hAnsi="Times New Roman" w:cs="Times New Roman"/>
          <w:sz w:val="24"/>
          <w:szCs w:val="24"/>
        </w:rPr>
      </w:pPr>
    </w:p>
    <w:p w:rsidR="00A55538" w:rsidRP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Belarus takes part in EU’s Eastern Partnership initiative and, within this scheme, has been an active participants in the EU Framework Programmes and, currently, in the Horizon 2020 programme. Within FP7, Belarusian researchers took part in 63 international R&amp;D projects, and raised some € 4.22 mn of EU funding. Within H2020, as of the moment of writing, Belarusian participants were part of 20 international projects, raising some € 2.82 mn of EU funding</w:t>
      </w:r>
      <w:r w:rsidRPr="00A55538">
        <w:rPr>
          <w:rFonts w:ascii="Times New Roman" w:hAnsi="Times New Roman" w:cs="Times New Roman"/>
          <w:sz w:val="24"/>
          <w:szCs w:val="24"/>
          <w:vertAlign w:val="superscript"/>
        </w:rPr>
        <w:footnoteReference w:id="3"/>
      </w:r>
      <w:r w:rsidRPr="00A55538">
        <w:rPr>
          <w:rFonts w:ascii="Times New Roman" w:hAnsi="Times New Roman" w:cs="Times New Roman"/>
          <w:sz w:val="24"/>
          <w:szCs w:val="24"/>
        </w:rPr>
        <w:t>. BelISA maintains a National Information Office on EU’s S&amp;T&amp;I programmes which provides technical support to prospective Belarusian in different such EU programmes and coordinates the national networking activities related to this cooperation.</w:t>
      </w:r>
    </w:p>
    <w:p w:rsidR="00A55538" w:rsidRPr="00A55538" w:rsidRDefault="00A55538" w:rsidP="00A55538">
      <w:pPr>
        <w:spacing w:after="0" w:line="240" w:lineRule="auto"/>
        <w:jc w:val="both"/>
        <w:rPr>
          <w:rFonts w:ascii="Times New Roman" w:hAnsi="Times New Roman" w:cs="Times New Roman"/>
          <w:sz w:val="24"/>
          <w:szCs w:val="24"/>
        </w:rPr>
      </w:pPr>
    </w:p>
    <w:p w:rsidR="00A55538" w:rsidRDefault="00A55538" w:rsidP="00A55538">
      <w:pPr>
        <w:spacing w:after="0" w:line="240" w:lineRule="auto"/>
        <w:jc w:val="both"/>
        <w:rPr>
          <w:rFonts w:ascii="Times New Roman" w:hAnsi="Times New Roman" w:cs="Times New Roman"/>
          <w:sz w:val="24"/>
          <w:szCs w:val="24"/>
        </w:rPr>
      </w:pPr>
      <w:r w:rsidRPr="00A55538">
        <w:rPr>
          <w:rFonts w:ascii="Times New Roman" w:hAnsi="Times New Roman" w:cs="Times New Roman"/>
          <w:sz w:val="24"/>
          <w:szCs w:val="24"/>
        </w:rPr>
        <w:t>Belarus has a range of bilateral S&amp;T cooperation agreements with a number of countries. The most significant are those within the Union State of Belarus and Russia. These include a number of bilateral cooperative S&amp;T initiatives which are funded within the budget of the Union State. Some other bilateral agreements (e.g. those with India and Lithuania) are also accompanied by instruments for funding of joint bilateral pr</w:t>
      </w:r>
      <w:r w:rsidR="003523E2">
        <w:rPr>
          <w:rFonts w:ascii="Times New Roman" w:hAnsi="Times New Roman" w:cs="Times New Roman"/>
          <w:sz w:val="24"/>
          <w:szCs w:val="24"/>
        </w:rPr>
        <w:t>ojects in mutually agreed areas</w:t>
      </w:r>
      <w:r w:rsidRPr="00A55538">
        <w:rPr>
          <w:rFonts w:ascii="Times New Roman" w:hAnsi="Times New Roman" w:cs="Times New Roman"/>
          <w:sz w:val="24"/>
          <w:szCs w:val="24"/>
        </w:rPr>
        <w:t>.</w:t>
      </w:r>
    </w:p>
    <w:p w:rsidR="007F4352" w:rsidRDefault="007F4352" w:rsidP="00A55538">
      <w:pPr>
        <w:spacing w:after="0" w:line="240" w:lineRule="auto"/>
        <w:jc w:val="both"/>
        <w:rPr>
          <w:rFonts w:ascii="Times New Roman" w:hAnsi="Times New Roman" w:cs="Times New Roman"/>
          <w:sz w:val="24"/>
          <w:szCs w:val="24"/>
        </w:rPr>
      </w:pPr>
    </w:p>
    <w:p w:rsidR="007F4352" w:rsidRDefault="00D57D0C" w:rsidP="007F4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regards to the long term strategic development of innovation policies, it is important to highlight that g</w:t>
      </w:r>
      <w:r w:rsidR="007F4352" w:rsidRPr="003523E2">
        <w:rPr>
          <w:rFonts w:ascii="Times New Roman" w:hAnsi="Times New Roman" w:cs="Times New Roman"/>
          <w:sz w:val="24"/>
          <w:szCs w:val="24"/>
        </w:rPr>
        <w:t>lobal manufacturing trade nowadays is dominated by large international conglomerates whose production process is grounded on a division of labour that generates economies of scale and economies of scope, which is also the basis of their international competitiveness. Thus</w:t>
      </w:r>
      <w:r>
        <w:rPr>
          <w:rFonts w:ascii="Times New Roman" w:hAnsi="Times New Roman" w:cs="Times New Roman"/>
          <w:sz w:val="24"/>
          <w:szCs w:val="24"/>
        </w:rPr>
        <w:t>,</w:t>
      </w:r>
      <w:r w:rsidR="007F4352" w:rsidRPr="003523E2">
        <w:rPr>
          <w:rFonts w:ascii="Times New Roman" w:hAnsi="Times New Roman" w:cs="Times New Roman"/>
          <w:sz w:val="24"/>
          <w:szCs w:val="24"/>
        </w:rPr>
        <w:t xml:space="preserve"> if Belarus wants to pursue meaningfully the objective to boost the export activity of local firms, it would be necessary to consider mechanisms and instruments of implementing this strategy through the channels of global value chains. Such a national strategy should be a separate national undertaking of its own as it would involve a wide range of policy elements, including measures to attract foreign direct investment in the desired sectors of the economy and the establishing of local forward and backward linkages to FDI firms. </w:t>
      </w:r>
    </w:p>
    <w:p w:rsidR="007F4352" w:rsidRPr="003523E2" w:rsidRDefault="007F4352" w:rsidP="007F4352">
      <w:pPr>
        <w:spacing w:after="0" w:line="240" w:lineRule="auto"/>
        <w:jc w:val="both"/>
        <w:rPr>
          <w:rFonts w:ascii="Times New Roman" w:hAnsi="Times New Roman" w:cs="Times New Roman"/>
          <w:sz w:val="24"/>
          <w:szCs w:val="24"/>
        </w:rPr>
      </w:pPr>
    </w:p>
    <w:p w:rsidR="007F4352" w:rsidRPr="003523E2" w:rsidRDefault="007F4352" w:rsidP="007F4352">
      <w:pPr>
        <w:spacing w:after="0" w:line="240" w:lineRule="auto"/>
        <w:jc w:val="both"/>
        <w:rPr>
          <w:rFonts w:ascii="Times New Roman" w:hAnsi="Times New Roman" w:cs="Times New Roman"/>
          <w:sz w:val="24"/>
          <w:szCs w:val="24"/>
        </w:rPr>
      </w:pPr>
      <w:r w:rsidRPr="003523E2">
        <w:rPr>
          <w:rFonts w:ascii="Times New Roman" w:hAnsi="Times New Roman" w:cs="Times New Roman"/>
          <w:sz w:val="24"/>
          <w:szCs w:val="24"/>
        </w:rPr>
        <w:t>In particular, these could be policy instruments stimulating cooperation between local and foreign firms in innovative projects with export orientation. Funding such projects could be made conditional on: 1) cooperation in project implementation between local and foreign manufacturin</w:t>
      </w:r>
      <w:r>
        <w:rPr>
          <w:rFonts w:ascii="Times New Roman" w:hAnsi="Times New Roman" w:cs="Times New Roman"/>
          <w:sz w:val="24"/>
          <w:szCs w:val="24"/>
        </w:rPr>
        <w:t>g firms; 2) export orientation</w:t>
      </w:r>
      <w:r w:rsidRPr="003523E2">
        <w:rPr>
          <w:rFonts w:ascii="Times New Roman" w:hAnsi="Times New Roman" w:cs="Times New Roman"/>
          <w:sz w:val="24"/>
          <w:szCs w:val="24"/>
        </w:rPr>
        <w:t>. Access to such funding should also be organised through competitive open calls without discrimination as to the nature of the bidders (both large and small firms; both state-owned and private). For greater efficiency and effectiveness, such measures would need to be coordinated with the mechanisms included in the export support programmes.</w:t>
      </w:r>
    </w:p>
    <w:p w:rsidR="007F4352" w:rsidRPr="00A55538" w:rsidRDefault="007F4352" w:rsidP="00A55538">
      <w:pPr>
        <w:spacing w:after="0" w:line="240" w:lineRule="auto"/>
        <w:jc w:val="both"/>
        <w:rPr>
          <w:rFonts w:ascii="Times New Roman" w:hAnsi="Times New Roman" w:cs="Times New Roman"/>
          <w:sz w:val="24"/>
          <w:szCs w:val="24"/>
        </w:rPr>
      </w:pPr>
    </w:p>
    <w:p w:rsidR="00550056" w:rsidRPr="00B0657A" w:rsidRDefault="00A13A0F" w:rsidP="00550056">
      <w:pPr>
        <w:spacing w:after="0" w:line="240" w:lineRule="auto"/>
        <w:jc w:val="both"/>
        <w:rPr>
          <w:rFonts w:ascii="Times New Roman" w:hAnsi="Times New Roman" w:cs="Times New Roman"/>
          <w:sz w:val="24"/>
          <w:szCs w:val="24"/>
          <w:u w:val="single"/>
        </w:rPr>
      </w:pPr>
      <w:r w:rsidRPr="00B0657A">
        <w:rPr>
          <w:rFonts w:ascii="Times New Roman" w:hAnsi="Times New Roman" w:cs="Times New Roman"/>
          <w:sz w:val="24"/>
          <w:szCs w:val="24"/>
          <w:u w:val="single"/>
        </w:rPr>
        <w:t>Knowledge generation and innovation support institutions; industry-science linkages; innovative entrepreneurship and financing</w:t>
      </w:r>
    </w:p>
    <w:p w:rsidR="00B0657A" w:rsidRPr="00550056" w:rsidRDefault="00B0657A" w:rsidP="00550056">
      <w:pPr>
        <w:spacing w:after="0" w:line="240" w:lineRule="auto"/>
        <w:jc w:val="both"/>
        <w:rPr>
          <w:rFonts w:ascii="Times New Roman" w:hAnsi="Times New Roman" w:cs="Times New Roman"/>
          <w:b/>
          <w:i/>
          <w:sz w:val="24"/>
          <w:szCs w:val="24"/>
        </w:rPr>
      </w:pPr>
    </w:p>
    <w:p w:rsidR="00297B88" w:rsidRPr="00297B88" w:rsidRDefault="00297B88" w:rsidP="00297B88">
      <w:pPr>
        <w:spacing w:after="0" w:line="240" w:lineRule="auto"/>
        <w:jc w:val="both"/>
        <w:rPr>
          <w:rFonts w:ascii="Times New Roman" w:hAnsi="Times New Roman" w:cs="Times New Roman"/>
          <w:sz w:val="24"/>
          <w:szCs w:val="24"/>
        </w:rPr>
      </w:pPr>
      <w:r w:rsidRPr="00297B88">
        <w:rPr>
          <w:rFonts w:ascii="Times New Roman" w:hAnsi="Times New Roman" w:cs="Times New Roman"/>
          <w:sz w:val="24"/>
          <w:szCs w:val="24"/>
        </w:rPr>
        <w:t xml:space="preserve">             </w:t>
      </w:r>
    </w:p>
    <w:p w:rsidR="00297B88" w:rsidRPr="00B0657A" w:rsidRDefault="00297B88" w:rsidP="00297B88">
      <w:pPr>
        <w:spacing w:after="0" w:line="240" w:lineRule="auto"/>
        <w:jc w:val="both"/>
        <w:rPr>
          <w:rFonts w:ascii="Times New Roman" w:hAnsi="Times New Roman" w:cs="Times New Roman"/>
          <w:i/>
          <w:sz w:val="24"/>
          <w:szCs w:val="24"/>
        </w:rPr>
      </w:pPr>
      <w:r w:rsidRPr="00B0657A">
        <w:rPr>
          <w:rFonts w:ascii="Times New Roman" w:hAnsi="Times New Roman" w:cs="Times New Roman"/>
          <w:i/>
          <w:sz w:val="24"/>
          <w:szCs w:val="24"/>
        </w:rPr>
        <w:lastRenderedPageBreak/>
        <w:t xml:space="preserve">The role of the enterprise sector: intramural R&amp;D, human resources, science linkages   </w:t>
      </w:r>
    </w:p>
    <w:p w:rsidR="00297B88" w:rsidRPr="00297B88" w:rsidRDefault="00297B88" w:rsidP="00297B88">
      <w:pPr>
        <w:spacing w:after="0" w:line="240" w:lineRule="auto"/>
        <w:jc w:val="both"/>
        <w:rPr>
          <w:rFonts w:ascii="Times New Roman" w:hAnsi="Times New Roman" w:cs="Times New Roman"/>
          <w:b/>
          <w:i/>
          <w:sz w:val="24"/>
          <w:szCs w:val="24"/>
        </w:rPr>
      </w:pPr>
      <w:r w:rsidRPr="00297B88">
        <w:rPr>
          <w:rFonts w:ascii="Times New Roman" w:hAnsi="Times New Roman" w:cs="Times New Roman"/>
          <w:b/>
          <w:i/>
          <w:sz w:val="24"/>
          <w:szCs w:val="24"/>
        </w:rPr>
        <w:t xml:space="preserve"> </w:t>
      </w:r>
    </w:p>
    <w:p w:rsidR="00297B88" w:rsidRPr="00297B88" w:rsidRDefault="00297B88" w:rsidP="00CE4161">
      <w:pPr>
        <w:spacing w:after="0" w:line="240" w:lineRule="auto"/>
        <w:jc w:val="both"/>
        <w:rPr>
          <w:rFonts w:ascii="Times New Roman" w:hAnsi="Times New Roman" w:cs="Times New Roman"/>
          <w:sz w:val="20"/>
          <w:szCs w:val="20"/>
          <w:lang w:val="en-US"/>
        </w:rPr>
      </w:pPr>
      <w:r w:rsidRPr="00297B88">
        <w:rPr>
          <w:rFonts w:ascii="Times New Roman" w:hAnsi="Times New Roman" w:cs="Times New Roman"/>
          <w:sz w:val="24"/>
          <w:szCs w:val="24"/>
        </w:rPr>
        <w:t>Against the background of the worsening of Belarusian`s macroecon</w:t>
      </w:r>
      <w:r w:rsidR="00EB2634">
        <w:rPr>
          <w:rFonts w:ascii="Times New Roman" w:hAnsi="Times New Roman" w:cs="Times New Roman"/>
          <w:sz w:val="24"/>
          <w:szCs w:val="24"/>
        </w:rPr>
        <w:t>o</w:t>
      </w:r>
      <w:r w:rsidRPr="00297B88">
        <w:rPr>
          <w:rFonts w:ascii="Times New Roman" w:hAnsi="Times New Roman" w:cs="Times New Roman"/>
          <w:sz w:val="24"/>
          <w:szCs w:val="24"/>
        </w:rPr>
        <w:t>mic conditions, pressure on the enterprise sector to increase their international competitiveness remains high, especially with regard to increase their innovative output</w:t>
      </w:r>
      <w:r w:rsidR="00EB2634">
        <w:rPr>
          <w:rFonts w:ascii="Times New Roman" w:hAnsi="Times New Roman" w:cs="Times New Roman"/>
          <w:sz w:val="24"/>
          <w:szCs w:val="24"/>
        </w:rPr>
        <w:t xml:space="preserve">. However, </w:t>
      </w:r>
      <w:r w:rsidRPr="00297B88">
        <w:rPr>
          <w:rFonts w:ascii="Times New Roman" w:hAnsi="Times New Roman" w:cs="Times New Roman"/>
          <w:sz w:val="24"/>
          <w:szCs w:val="24"/>
        </w:rPr>
        <w:t xml:space="preserve">domestic R&amp;D expenditure as </w:t>
      </w:r>
      <w:r w:rsidR="007300BB">
        <w:rPr>
          <w:rFonts w:ascii="Times New Roman" w:hAnsi="Times New Roman" w:cs="Times New Roman"/>
          <w:sz w:val="24"/>
          <w:szCs w:val="24"/>
        </w:rPr>
        <w:t>percentage</w:t>
      </w:r>
      <w:r w:rsidRPr="00297B88">
        <w:rPr>
          <w:rFonts w:ascii="Times New Roman" w:hAnsi="Times New Roman" w:cs="Times New Roman"/>
          <w:sz w:val="24"/>
          <w:szCs w:val="24"/>
        </w:rPr>
        <w:t xml:space="preserve"> of GDP has decreased from 0</w:t>
      </w:r>
      <w:r w:rsidR="00792D70">
        <w:rPr>
          <w:rFonts w:ascii="Times New Roman" w:hAnsi="Times New Roman" w:cs="Times New Roman"/>
          <w:sz w:val="24"/>
          <w:szCs w:val="24"/>
        </w:rPr>
        <w:t>.</w:t>
      </w:r>
      <w:r w:rsidRPr="00297B88">
        <w:rPr>
          <w:rFonts w:ascii="Times New Roman" w:hAnsi="Times New Roman" w:cs="Times New Roman"/>
          <w:sz w:val="24"/>
          <w:szCs w:val="24"/>
        </w:rPr>
        <w:t>68</w:t>
      </w:r>
      <w:r w:rsidR="007300BB">
        <w:rPr>
          <w:rFonts w:ascii="Times New Roman" w:hAnsi="Times New Roman" w:cs="Times New Roman"/>
          <w:sz w:val="24"/>
          <w:szCs w:val="24"/>
        </w:rPr>
        <w:t xml:space="preserve"> per cent</w:t>
      </w:r>
      <w:r w:rsidRPr="00297B88">
        <w:rPr>
          <w:rFonts w:ascii="Times New Roman" w:hAnsi="Times New Roman" w:cs="Times New Roman"/>
          <w:sz w:val="24"/>
          <w:szCs w:val="24"/>
        </w:rPr>
        <w:t xml:space="preserve"> in 2005 to 0</w:t>
      </w:r>
      <w:r w:rsidR="00792D70">
        <w:rPr>
          <w:rFonts w:ascii="Times New Roman" w:hAnsi="Times New Roman" w:cs="Times New Roman"/>
          <w:sz w:val="24"/>
          <w:szCs w:val="24"/>
        </w:rPr>
        <w:t>.</w:t>
      </w:r>
      <w:r w:rsidRPr="00297B88">
        <w:rPr>
          <w:rFonts w:ascii="Times New Roman" w:hAnsi="Times New Roman" w:cs="Times New Roman"/>
          <w:sz w:val="24"/>
          <w:szCs w:val="24"/>
        </w:rPr>
        <w:t>52</w:t>
      </w:r>
      <w:r w:rsidR="007300BB">
        <w:rPr>
          <w:rFonts w:ascii="Times New Roman" w:hAnsi="Times New Roman" w:cs="Times New Roman"/>
          <w:sz w:val="24"/>
          <w:szCs w:val="24"/>
        </w:rPr>
        <w:t xml:space="preserve"> per cent</w:t>
      </w:r>
      <w:r w:rsidRPr="00297B88">
        <w:rPr>
          <w:rFonts w:ascii="Times New Roman" w:hAnsi="Times New Roman" w:cs="Times New Roman"/>
          <w:sz w:val="24"/>
          <w:szCs w:val="24"/>
        </w:rPr>
        <w:t xml:space="preserve"> in 2014. The R&amp;D expenditures in that period could not catch up with the (modest) growth of the economy as a whole. </w:t>
      </w:r>
    </w:p>
    <w:p w:rsidR="00297B88" w:rsidRPr="00297B88" w:rsidRDefault="00297B88" w:rsidP="00297B88">
      <w:pPr>
        <w:spacing w:after="0" w:line="240" w:lineRule="auto"/>
        <w:jc w:val="both"/>
        <w:rPr>
          <w:rFonts w:ascii="Times New Roman" w:hAnsi="Times New Roman" w:cs="Times New Roman"/>
          <w:b/>
          <w:i/>
          <w:sz w:val="24"/>
          <w:szCs w:val="24"/>
          <w:lang w:val="en-US"/>
        </w:rPr>
      </w:pPr>
    </w:p>
    <w:p w:rsidR="00297B88" w:rsidRPr="00297B88" w:rsidRDefault="00297B88" w:rsidP="00297B88">
      <w:pPr>
        <w:spacing w:after="0" w:line="240" w:lineRule="auto"/>
        <w:jc w:val="both"/>
        <w:rPr>
          <w:rFonts w:ascii="Times New Roman" w:hAnsi="Times New Roman" w:cs="Times New Roman"/>
          <w:sz w:val="24"/>
          <w:szCs w:val="24"/>
        </w:rPr>
      </w:pPr>
      <w:r w:rsidRPr="00297B88">
        <w:rPr>
          <w:rFonts w:ascii="Times New Roman" w:hAnsi="Times New Roman" w:cs="Times New Roman"/>
          <w:sz w:val="24"/>
          <w:szCs w:val="24"/>
        </w:rPr>
        <w:t xml:space="preserve">Regarding the development of </w:t>
      </w:r>
      <w:r w:rsidRPr="00297B88">
        <w:rPr>
          <w:rFonts w:ascii="Times New Roman" w:hAnsi="Times New Roman" w:cs="Times New Roman"/>
          <w:i/>
          <w:sz w:val="24"/>
          <w:szCs w:val="24"/>
        </w:rPr>
        <w:t xml:space="preserve">human capital in the business </w:t>
      </w:r>
      <w:r w:rsidR="003677ED">
        <w:rPr>
          <w:rFonts w:ascii="Times New Roman" w:hAnsi="Times New Roman" w:cs="Times New Roman"/>
          <w:i/>
          <w:sz w:val="24"/>
          <w:szCs w:val="24"/>
        </w:rPr>
        <w:t xml:space="preserve">sector, </w:t>
      </w:r>
      <w:r w:rsidR="003677ED">
        <w:rPr>
          <w:rFonts w:ascii="Times New Roman" w:hAnsi="Times New Roman" w:cs="Times New Roman"/>
          <w:sz w:val="24"/>
          <w:szCs w:val="24"/>
        </w:rPr>
        <w:t>in</w:t>
      </w:r>
      <w:r w:rsidRPr="00297B88">
        <w:rPr>
          <w:rFonts w:ascii="Times New Roman" w:hAnsi="Times New Roman" w:cs="Times New Roman"/>
          <w:sz w:val="24"/>
          <w:szCs w:val="24"/>
        </w:rPr>
        <w:t xml:space="preserve"> 2013, the number </w:t>
      </w:r>
      <w:r w:rsidR="003677ED">
        <w:rPr>
          <w:rFonts w:ascii="Times New Roman" w:hAnsi="Times New Roman" w:cs="Times New Roman"/>
          <w:sz w:val="24"/>
          <w:szCs w:val="24"/>
        </w:rPr>
        <w:t>amounted</w:t>
      </w:r>
      <w:r w:rsidRPr="00297B88">
        <w:rPr>
          <w:rFonts w:ascii="Times New Roman" w:hAnsi="Times New Roman" w:cs="Times New Roman"/>
          <w:sz w:val="24"/>
          <w:szCs w:val="24"/>
        </w:rPr>
        <w:t xml:space="preserve"> to 1.183 (UNESCO Science Report). Compared to countries like Ukraine (511), Azerbaijan (124) or Moldova (73), Belarus therefore ranks </w:t>
      </w:r>
      <w:r w:rsidR="003677ED">
        <w:rPr>
          <w:rFonts w:ascii="Times New Roman" w:hAnsi="Times New Roman" w:cs="Times New Roman"/>
          <w:sz w:val="24"/>
          <w:szCs w:val="24"/>
        </w:rPr>
        <w:t>high</w:t>
      </w:r>
      <w:r w:rsidRPr="00297B88">
        <w:rPr>
          <w:rFonts w:ascii="Times New Roman" w:hAnsi="Times New Roman" w:cs="Times New Roman"/>
          <w:sz w:val="24"/>
          <w:szCs w:val="24"/>
        </w:rPr>
        <w:t xml:space="preserve"> </w:t>
      </w:r>
      <w:r w:rsidR="003677ED">
        <w:rPr>
          <w:rFonts w:ascii="Times New Roman" w:hAnsi="Times New Roman" w:cs="Times New Roman"/>
          <w:sz w:val="24"/>
          <w:szCs w:val="24"/>
        </w:rPr>
        <w:t>among countries with economies in transition</w:t>
      </w:r>
      <w:r w:rsidRPr="00297B88">
        <w:rPr>
          <w:rFonts w:ascii="Times New Roman" w:hAnsi="Times New Roman" w:cs="Times New Roman"/>
          <w:sz w:val="24"/>
          <w:szCs w:val="24"/>
        </w:rPr>
        <w:t xml:space="preserve">. However, with a view to the overall </w:t>
      </w:r>
      <w:r w:rsidRPr="00297B88">
        <w:rPr>
          <w:rFonts w:ascii="Times New Roman" w:hAnsi="Times New Roman" w:cs="Times New Roman"/>
          <w:i/>
          <w:sz w:val="24"/>
          <w:szCs w:val="24"/>
        </w:rPr>
        <w:t>employment in high-technology industries and knowledge-intensive services</w:t>
      </w:r>
      <w:r w:rsidRPr="00297B88">
        <w:rPr>
          <w:rFonts w:ascii="Times New Roman" w:hAnsi="Times New Roman" w:cs="Times New Roman"/>
          <w:sz w:val="24"/>
          <w:szCs w:val="24"/>
        </w:rPr>
        <w:t xml:space="preserve"> a decrease since 2010 can be observed</w:t>
      </w:r>
      <w:r w:rsidR="005721FB" w:rsidRPr="00297B88">
        <w:rPr>
          <w:rFonts w:ascii="Times New Roman" w:hAnsi="Times New Roman" w:cs="Times New Roman"/>
          <w:sz w:val="24"/>
          <w:szCs w:val="24"/>
          <w:vertAlign w:val="superscript"/>
        </w:rPr>
        <w:footnoteReference w:id="4"/>
      </w:r>
      <w:r w:rsidRPr="00297B88">
        <w:rPr>
          <w:rFonts w:ascii="Times New Roman" w:hAnsi="Times New Roman" w:cs="Times New Roman"/>
          <w:sz w:val="24"/>
          <w:szCs w:val="24"/>
        </w:rPr>
        <w:t>. The most important high-technology/medium high-technology industries in terms of employment are currently the fields “Manufacture of medical, precision and optical instruments and equipment; watches and clocks” and “Manufacture of machinery and equipment”. Regarding the employment development in knowledge-intensive services, a slight decrease in the period from 2010 (29</w:t>
      </w:r>
      <w:r w:rsidR="005E1D61">
        <w:rPr>
          <w:rFonts w:ascii="Times New Roman" w:hAnsi="Times New Roman" w:cs="Times New Roman"/>
          <w:sz w:val="24"/>
          <w:szCs w:val="24"/>
        </w:rPr>
        <w:t>.</w:t>
      </w:r>
      <w:r w:rsidRPr="00297B88">
        <w:rPr>
          <w:rFonts w:ascii="Times New Roman" w:hAnsi="Times New Roman" w:cs="Times New Roman"/>
          <w:sz w:val="24"/>
          <w:szCs w:val="24"/>
        </w:rPr>
        <w:t>8</w:t>
      </w:r>
      <w:r w:rsidR="007300BB">
        <w:rPr>
          <w:rFonts w:ascii="Times New Roman" w:hAnsi="Times New Roman" w:cs="Times New Roman"/>
          <w:sz w:val="24"/>
          <w:szCs w:val="24"/>
        </w:rPr>
        <w:t xml:space="preserve"> per cent</w:t>
      </w:r>
      <w:r w:rsidRPr="00297B88">
        <w:rPr>
          <w:rFonts w:ascii="Times New Roman" w:hAnsi="Times New Roman" w:cs="Times New Roman"/>
          <w:sz w:val="24"/>
          <w:szCs w:val="24"/>
        </w:rPr>
        <w:t>) to 2014 (29</w:t>
      </w:r>
      <w:r w:rsidR="005E1D61">
        <w:rPr>
          <w:rFonts w:ascii="Times New Roman" w:hAnsi="Times New Roman" w:cs="Times New Roman"/>
          <w:sz w:val="24"/>
          <w:szCs w:val="24"/>
        </w:rPr>
        <w:t>.</w:t>
      </w:r>
      <w:r w:rsidRPr="00297B88">
        <w:rPr>
          <w:rFonts w:ascii="Times New Roman" w:hAnsi="Times New Roman" w:cs="Times New Roman"/>
          <w:sz w:val="24"/>
          <w:szCs w:val="24"/>
        </w:rPr>
        <w:t>3</w:t>
      </w:r>
      <w:r w:rsidR="007300BB">
        <w:rPr>
          <w:rFonts w:ascii="Times New Roman" w:hAnsi="Times New Roman" w:cs="Times New Roman"/>
          <w:sz w:val="24"/>
          <w:szCs w:val="24"/>
        </w:rPr>
        <w:t xml:space="preserve"> per cent</w:t>
      </w:r>
      <w:r w:rsidRPr="00297B88">
        <w:rPr>
          <w:rFonts w:ascii="Times New Roman" w:hAnsi="Times New Roman" w:cs="Times New Roman"/>
          <w:sz w:val="24"/>
          <w:szCs w:val="24"/>
        </w:rPr>
        <w:t xml:space="preserve">) can be observed. </w:t>
      </w:r>
    </w:p>
    <w:p w:rsidR="00297B88" w:rsidRPr="00297B88" w:rsidRDefault="00297B88" w:rsidP="00297B88">
      <w:pPr>
        <w:spacing w:after="0" w:line="240" w:lineRule="auto"/>
        <w:jc w:val="both"/>
        <w:rPr>
          <w:rFonts w:ascii="Times New Roman" w:hAnsi="Times New Roman" w:cs="Times New Roman"/>
          <w:sz w:val="24"/>
          <w:szCs w:val="24"/>
        </w:rPr>
      </w:pPr>
    </w:p>
    <w:p w:rsidR="00297B88" w:rsidRPr="00297B88" w:rsidRDefault="00297B88" w:rsidP="00297B88">
      <w:pPr>
        <w:spacing w:after="0" w:line="240" w:lineRule="auto"/>
        <w:jc w:val="both"/>
        <w:rPr>
          <w:rFonts w:ascii="Times New Roman" w:hAnsi="Times New Roman" w:cs="Times New Roman"/>
          <w:sz w:val="24"/>
          <w:szCs w:val="24"/>
        </w:rPr>
      </w:pPr>
      <w:r w:rsidRPr="00297B88">
        <w:rPr>
          <w:rFonts w:ascii="Times New Roman" w:hAnsi="Times New Roman" w:cs="Times New Roman"/>
          <w:sz w:val="24"/>
          <w:szCs w:val="24"/>
        </w:rPr>
        <w:t>On the basis of the quantitative indicators, it can be concluded that Belarus went through a phase of stagnation</w:t>
      </w:r>
      <w:r w:rsidR="00D45246">
        <w:rPr>
          <w:rFonts w:ascii="Times New Roman" w:hAnsi="Times New Roman" w:cs="Times New Roman"/>
          <w:sz w:val="24"/>
          <w:szCs w:val="24"/>
        </w:rPr>
        <w:t xml:space="preserve"> in recent years, partly due </w:t>
      </w:r>
      <w:r w:rsidRPr="00297B88">
        <w:rPr>
          <w:rFonts w:ascii="Times New Roman" w:hAnsi="Times New Roman" w:cs="Times New Roman"/>
          <w:sz w:val="24"/>
          <w:szCs w:val="24"/>
        </w:rPr>
        <w:t xml:space="preserve">to external shocks. </w:t>
      </w:r>
      <w:r w:rsidR="00D45246">
        <w:rPr>
          <w:rFonts w:ascii="Times New Roman" w:hAnsi="Times New Roman" w:cs="Times New Roman"/>
          <w:sz w:val="24"/>
          <w:szCs w:val="24"/>
        </w:rPr>
        <w:t>On the other hand, s</w:t>
      </w:r>
      <w:r w:rsidRPr="00297B88">
        <w:rPr>
          <w:rFonts w:ascii="Times New Roman" w:hAnsi="Times New Roman" w:cs="Times New Roman"/>
          <w:sz w:val="24"/>
          <w:szCs w:val="24"/>
        </w:rPr>
        <w:t xml:space="preserve">tructural weaknesses of the Belarusian business sector in general and R&amp;D and its innovation activities in particular </w:t>
      </w:r>
      <w:r w:rsidR="00D45246">
        <w:rPr>
          <w:rFonts w:ascii="Times New Roman" w:hAnsi="Times New Roman" w:cs="Times New Roman"/>
          <w:sz w:val="24"/>
          <w:szCs w:val="24"/>
        </w:rPr>
        <w:t xml:space="preserve">prevented a more solid performance. </w:t>
      </w:r>
      <w:r w:rsidRPr="00297B88">
        <w:rPr>
          <w:rFonts w:ascii="Times New Roman" w:hAnsi="Times New Roman" w:cs="Times New Roman"/>
          <w:sz w:val="24"/>
          <w:szCs w:val="24"/>
        </w:rPr>
        <w:t xml:space="preserve">Furthermore, knowledge generation in the Belarusian enterprise sectors is currently limited due to the absence of real growth centres with the potential to initiate </w:t>
      </w:r>
      <w:r w:rsidRPr="009B57C2">
        <w:rPr>
          <w:rFonts w:ascii="Times New Roman" w:hAnsi="Times New Roman" w:cs="Times New Roman"/>
          <w:i/>
          <w:sz w:val="24"/>
          <w:szCs w:val="24"/>
        </w:rPr>
        <w:t>cluster effects</w:t>
      </w:r>
      <w:r w:rsidRPr="00297B88">
        <w:rPr>
          <w:rFonts w:ascii="Times New Roman" w:hAnsi="Times New Roman" w:cs="Times New Roman"/>
          <w:sz w:val="24"/>
          <w:szCs w:val="24"/>
        </w:rPr>
        <w:t xml:space="preserve"> (with the exception of the IT sector). In successful national (or regional) innovation systems clusters of specific industries or technologies are crucial as a critical mass of companies in the same or related industries tends to initiate permanent feedback loops and self-enhancing effects (cluster dynamics). Such cluster effects partly occur along the value chain, but also within the division of labour in the innovation process. The more (highly specialized) partners are involved in the innovation process, the more information and ultimately knowledge circulates within certain industries or </w:t>
      </w:r>
      <w:r w:rsidRPr="00EB2634">
        <w:rPr>
          <w:rFonts w:ascii="Times New Roman" w:hAnsi="Times New Roman" w:cs="Times New Roman"/>
          <w:sz w:val="24"/>
          <w:szCs w:val="24"/>
        </w:rPr>
        <w:t xml:space="preserve">sectors. In Belarus, these </w:t>
      </w:r>
      <w:r w:rsidRPr="00EB2634">
        <w:rPr>
          <w:rFonts w:ascii="Times New Roman" w:hAnsi="Times New Roman" w:cs="Times New Roman"/>
          <w:i/>
          <w:sz w:val="24"/>
          <w:szCs w:val="24"/>
        </w:rPr>
        <w:t>spill</w:t>
      </w:r>
      <w:r w:rsidR="00792D70">
        <w:rPr>
          <w:rFonts w:ascii="Times New Roman" w:hAnsi="Times New Roman" w:cs="Times New Roman"/>
          <w:i/>
          <w:sz w:val="24"/>
          <w:szCs w:val="24"/>
        </w:rPr>
        <w:t>-</w:t>
      </w:r>
      <w:r w:rsidRPr="00EB2634">
        <w:rPr>
          <w:rFonts w:ascii="Times New Roman" w:hAnsi="Times New Roman" w:cs="Times New Roman"/>
          <w:i/>
          <w:sz w:val="24"/>
          <w:szCs w:val="24"/>
        </w:rPr>
        <w:t>over effects</w:t>
      </w:r>
      <w:r w:rsidRPr="00EB2634">
        <w:rPr>
          <w:rFonts w:ascii="Times New Roman" w:hAnsi="Times New Roman" w:cs="Times New Roman"/>
          <w:sz w:val="24"/>
          <w:szCs w:val="24"/>
        </w:rPr>
        <w:t xml:space="preserve"> are hampered because of the dominance of large companies within the R&amp;D and innovation process and the fragmentation of the country`s industries</w:t>
      </w:r>
      <w:r w:rsidR="00EB2634" w:rsidRPr="00EB2634">
        <w:rPr>
          <w:rFonts w:ascii="Times New Roman" w:hAnsi="Times New Roman" w:cs="Times New Roman"/>
          <w:sz w:val="24"/>
          <w:szCs w:val="24"/>
        </w:rPr>
        <w:t xml:space="preserve"> (</w:t>
      </w:r>
      <w:r w:rsidR="00EB2634">
        <w:rPr>
          <w:rFonts w:ascii="Times New Roman" w:hAnsi="Times New Roman" w:cs="Times New Roman"/>
          <w:sz w:val="24"/>
          <w:szCs w:val="24"/>
        </w:rPr>
        <w:t xml:space="preserve">see </w:t>
      </w:r>
      <w:r w:rsidR="00792D70">
        <w:rPr>
          <w:rFonts w:ascii="Times New Roman" w:hAnsi="Times New Roman" w:cs="Times New Roman"/>
          <w:sz w:val="24"/>
          <w:szCs w:val="24"/>
        </w:rPr>
        <w:t>c</w:t>
      </w:r>
      <w:r w:rsidR="00EB2634">
        <w:rPr>
          <w:rFonts w:ascii="Times New Roman" w:hAnsi="Times New Roman" w:cs="Times New Roman"/>
          <w:sz w:val="24"/>
          <w:szCs w:val="24"/>
        </w:rPr>
        <w:t>hapter 3)</w:t>
      </w:r>
      <w:r w:rsidRPr="00297B88">
        <w:rPr>
          <w:rFonts w:ascii="Times New Roman" w:hAnsi="Times New Roman" w:cs="Times New Roman"/>
          <w:sz w:val="24"/>
          <w:szCs w:val="24"/>
        </w:rPr>
        <w:t xml:space="preserve">. </w:t>
      </w:r>
    </w:p>
    <w:p w:rsidR="00297B88" w:rsidRPr="00297B88" w:rsidRDefault="00297B88" w:rsidP="00297B88">
      <w:pPr>
        <w:spacing w:after="0" w:line="240" w:lineRule="auto"/>
        <w:jc w:val="both"/>
        <w:rPr>
          <w:rFonts w:ascii="Times New Roman" w:hAnsi="Times New Roman" w:cs="Times New Roman"/>
          <w:sz w:val="24"/>
          <w:szCs w:val="24"/>
          <w:lang w:val="en-US"/>
        </w:rPr>
      </w:pPr>
    </w:p>
    <w:p w:rsidR="00297B88" w:rsidRPr="00D84349" w:rsidRDefault="00297B88" w:rsidP="00297B88">
      <w:pPr>
        <w:spacing w:after="0" w:line="240" w:lineRule="auto"/>
        <w:jc w:val="both"/>
        <w:rPr>
          <w:rFonts w:ascii="Times New Roman" w:hAnsi="Times New Roman" w:cs="Times New Roman"/>
          <w:i/>
          <w:sz w:val="24"/>
          <w:szCs w:val="24"/>
          <w:lang w:val="en-US"/>
        </w:rPr>
      </w:pPr>
      <w:r w:rsidRPr="00D84349">
        <w:rPr>
          <w:rFonts w:ascii="Times New Roman" w:hAnsi="Times New Roman" w:cs="Times New Roman"/>
          <w:i/>
          <w:sz w:val="24"/>
          <w:szCs w:val="24"/>
          <w:lang w:val="en-US"/>
        </w:rPr>
        <w:t xml:space="preserve">Role of FDI and internationalization </w:t>
      </w:r>
    </w:p>
    <w:p w:rsidR="00297B88" w:rsidRPr="00297B88" w:rsidRDefault="00297B88" w:rsidP="00297B88">
      <w:pPr>
        <w:spacing w:after="0" w:line="240" w:lineRule="auto"/>
        <w:jc w:val="both"/>
        <w:rPr>
          <w:rFonts w:ascii="Times New Roman" w:hAnsi="Times New Roman" w:cs="Times New Roman"/>
          <w:b/>
          <w:i/>
          <w:sz w:val="24"/>
          <w:szCs w:val="24"/>
          <w:lang w:val="en-US"/>
        </w:rPr>
      </w:pPr>
    </w:p>
    <w:p w:rsidR="00297B88" w:rsidRPr="00297B88" w:rsidRDefault="00297B88" w:rsidP="00297B88">
      <w:pPr>
        <w:spacing w:after="0" w:line="240" w:lineRule="auto"/>
        <w:jc w:val="both"/>
        <w:rPr>
          <w:rFonts w:ascii="Times New Roman" w:hAnsi="Times New Roman" w:cs="Times New Roman"/>
          <w:sz w:val="24"/>
          <w:szCs w:val="24"/>
          <w:lang w:val="en-US"/>
        </w:rPr>
      </w:pPr>
      <w:r w:rsidRPr="00297B88">
        <w:rPr>
          <w:rFonts w:ascii="Times New Roman" w:hAnsi="Times New Roman" w:cs="Times New Roman"/>
          <w:sz w:val="24"/>
          <w:szCs w:val="24"/>
          <w:lang w:val="en-US"/>
        </w:rPr>
        <w:t xml:space="preserve">Foreign direct investment, both inflows and outflows as well as </w:t>
      </w:r>
      <w:r w:rsidR="00EB2634">
        <w:rPr>
          <w:rFonts w:ascii="Times New Roman" w:hAnsi="Times New Roman" w:cs="Times New Roman"/>
          <w:sz w:val="24"/>
          <w:szCs w:val="24"/>
          <w:lang w:val="en-US"/>
        </w:rPr>
        <w:t xml:space="preserve">non-equity forms of international production (e.g. subcontracting, licensing, franchising) </w:t>
      </w:r>
      <w:r w:rsidRPr="00297B88">
        <w:rPr>
          <w:rFonts w:ascii="Times New Roman" w:hAnsi="Times New Roman" w:cs="Times New Roman"/>
          <w:sz w:val="24"/>
          <w:szCs w:val="24"/>
          <w:lang w:val="en-US"/>
        </w:rPr>
        <w:t xml:space="preserve"> represent important channels for increasing the innovation and technological output. Relevant underlying mechanisms regarding technology transfer</w:t>
      </w:r>
      <w:r w:rsidR="00EB2634">
        <w:rPr>
          <w:rFonts w:ascii="Times New Roman" w:hAnsi="Times New Roman" w:cs="Times New Roman"/>
          <w:sz w:val="24"/>
          <w:szCs w:val="24"/>
          <w:lang w:val="en-US"/>
        </w:rPr>
        <w:t xml:space="preserve"> include</w:t>
      </w:r>
      <w:r w:rsidRPr="00297B88">
        <w:rPr>
          <w:rFonts w:ascii="Times New Roman" w:hAnsi="Times New Roman" w:cs="Times New Roman"/>
          <w:sz w:val="24"/>
          <w:szCs w:val="24"/>
          <w:lang w:val="en-US"/>
        </w:rPr>
        <w:t xml:space="preserve"> imported equipment</w:t>
      </w:r>
      <w:r w:rsidR="00EB2634">
        <w:rPr>
          <w:rFonts w:ascii="Times New Roman" w:hAnsi="Times New Roman" w:cs="Times New Roman"/>
          <w:sz w:val="24"/>
          <w:szCs w:val="24"/>
          <w:lang w:val="en-US"/>
        </w:rPr>
        <w:t xml:space="preserve">, </w:t>
      </w:r>
      <w:r w:rsidRPr="00297B88">
        <w:rPr>
          <w:rFonts w:ascii="Times New Roman" w:hAnsi="Times New Roman" w:cs="Times New Roman"/>
          <w:sz w:val="24"/>
          <w:szCs w:val="24"/>
          <w:lang w:val="en-US"/>
        </w:rPr>
        <w:t xml:space="preserve">learning through FDI, direct learning by the labour force working in foreign owned firms and learning form co-operation with foreign firms.   </w:t>
      </w:r>
    </w:p>
    <w:p w:rsidR="00297B88" w:rsidRPr="00297B88" w:rsidRDefault="00297B88" w:rsidP="00297B88">
      <w:pPr>
        <w:spacing w:after="0" w:line="240" w:lineRule="auto"/>
        <w:jc w:val="both"/>
        <w:rPr>
          <w:rFonts w:ascii="Times New Roman" w:hAnsi="Times New Roman" w:cs="Times New Roman"/>
          <w:sz w:val="24"/>
          <w:szCs w:val="24"/>
          <w:lang w:val="en-US"/>
        </w:rPr>
      </w:pPr>
    </w:p>
    <w:p w:rsidR="00297B88" w:rsidRPr="00297B88" w:rsidRDefault="00297B88" w:rsidP="00297B88">
      <w:pPr>
        <w:spacing w:after="0" w:line="240" w:lineRule="auto"/>
        <w:jc w:val="both"/>
        <w:rPr>
          <w:rFonts w:ascii="Times New Roman" w:hAnsi="Times New Roman" w:cs="Times New Roman"/>
          <w:sz w:val="24"/>
          <w:szCs w:val="24"/>
          <w:lang w:val="en-US"/>
        </w:rPr>
      </w:pPr>
      <w:r w:rsidRPr="00297B88">
        <w:rPr>
          <w:rFonts w:ascii="Times New Roman" w:hAnsi="Times New Roman" w:cs="Times New Roman"/>
          <w:sz w:val="24"/>
          <w:szCs w:val="24"/>
          <w:lang w:val="en-US"/>
        </w:rPr>
        <w:lastRenderedPageBreak/>
        <w:t xml:space="preserve">Since 2010, Belarus has made progress to improve the investment environment in the country. In 2014 the </w:t>
      </w:r>
      <w:r w:rsidRPr="00297B88">
        <w:rPr>
          <w:rFonts w:ascii="Times New Roman" w:hAnsi="Times New Roman" w:cs="Times New Roman"/>
          <w:i/>
          <w:sz w:val="24"/>
          <w:szCs w:val="24"/>
          <w:lang w:val="en-US"/>
        </w:rPr>
        <w:t>“Law On Investment”</w:t>
      </w:r>
      <w:r w:rsidRPr="00297B88">
        <w:rPr>
          <w:rFonts w:ascii="Times New Roman" w:hAnsi="Times New Roman" w:cs="Times New Roman"/>
          <w:sz w:val="24"/>
          <w:szCs w:val="24"/>
          <w:lang w:val="en-US"/>
        </w:rPr>
        <w:t xml:space="preserve"> entered into force, which should facilitate the attraction of investments into the Belarusian economy by guaranteeing protection of investors’ rights and interests, as well as </w:t>
      </w:r>
      <w:r w:rsidR="00D9045D">
        <w:rPr>
          <w:rFonts w:ascii="Times New Roman" w:hAnsi="Times New Roman" w:cs="Times New Roman"/>
          <w:sz w:val="24"/>
          <w:szCs w:val="24"/>
          <w:lang w:val="en-US"/>
        </w:rPr>
        <w:t>non-discrimination</w:t>
      </w:r>
      <w:r w:rsidRPr="00297B88">
        <w:rPr>
          <w:rFonts w:ascii="Times New Roman" w:hAnsi="Times New Roman" w:cs="Times New Roman"/>
          <w:sz w:val="24"/>
          <w:szCs w:val="24"/>
          <w:lang w:val="en-US"/>
        </w:rPr>
        <w:t>,</w:t>
      </w:r>
      <w:r w:rsidR="00D9045D">
        <w:rPr>
          <w:rFonts w:ascii="Times New Roman" w:hAnsi="Times New Roman" w:cs="Times New Roman"/>
          <w:sz w:val="24"/>
          <w:szCs w:val="24"/>
          <w:lang w:val="en-US"/>
        </w:rPr>
        <w:t xml:space="preserve"> free</w:t>
      </w:r>
      <w:r w:rsidRPr="00297B88">
        <w:rPr>
          <w:rFonts w:ascii="Times New Roman" w:hAnsi="Times New Roman" w:cs="Times New Roman"/>
          <w:sz w:val="24"/>
          <w:szCs w:val="24"/>
          <w:lang w:val="en-US"/>
        </w:rPr>
        <w:t xml:space="preserve"> disposal of profits made from investment and protection against interference in investors’ private affairs. In particular Belarus supports investors and provides incentives in the following areas: </w:t>
      </w:r>
    </w:p>
    <w:p w:rsidR="00297B88" w:rsidRPr="00297B88" w:rsidRDefault="00297B88" w:rsidP="00297B88">
      <w:pPr>
        <w:spacing w:after="0" w:line="240" w:lineRule="auto"/>
        <w:jc w:val="both"/>
        <w:rPr>
          <w:rFonts w:ascii="Arial" w:hAnsi="Arial" w:cs="Arial"/>
          <w:sz w:val="14"/>
          <w:szCs w:val="14"/>
          <w:lang w:val="en-US"/>
        </w:rPr>
      </w:pPr>
    </w:p>
    <w:p w:rsidR="00297B88" w:rsidRPr="00297B88" w:rsidRDefault="00CA0CDF" w:rsidP="00297B88">
      <w:pPr>
        <w:numPr>
          <w:ilvl w:val="0"/>
          <w:numId w:val="9"/>
        </w:numPr>
        <w:spacing w:after="150" w:line="190" w:lineRule="atLeast"/>
        <w:ind w:left="709" w:hanging="283"/>
        <w:contextualSpacing/>
        <w:jc w:val="both"/>
        <w:rPr>
          <w:rFonts w:ascii="Times New Roman" w:hAnsi="Times New Roman" w:cs="Times New Roman"/>
          <w:sz w:val="14"/>
          <w:szCs w:val="14"/>
          <w:lang w:val="en-US"/>
        </w:rPr>
      </w:pPr>
      <w:r>
        <w:rPr>
          <w:rFonts w:ascii="Times New Roman" w:hAnsi="Times New Roman" w:cs="Times New Roman"/>
          <w:sz w:val="24"/>
          <w:szCs w:val="24"/>
          <w:lang w:val="en-US"/>
        </w:rPr>
        <w:t>i</w:t>
      </w:r>
      <w:r w:rsidR="00297B88" w:rsidRPr="00297B88">
        <w:rPr>
          <w:rFonts w:ascii="Times New Roman" w:hAnsi="Times New Roman" w:cs="Times New Roman"/>
          <w:sz w:val="24"/>
          <w:szCs w:val="24"/>
          <w:lang w:val="en-US"/>
        </w:rPr>
        <w:t>n the territory of medium, small towns, in the countryside (if doing business on the territory of the Republic of Belarus);</w:t>
      </w:r>
    </w:p>
    <w:p w:rsidR="00297B88" w:rsidRPr="00297B88" w:rsidRDefault="00297B88" w:rsidP="00297B88">
      <w:pPr>
        <w:numPr>
          <w:ilvl w:val="0"/>
          <w:numId w:val="9"/>
        </w:numPr>
        <w:spacing w:after="150" w:line="190" w:lineRule="atLeast"/>
        <w:ind w:left="709" w:hanging="283"/>
        <w:contextualSpacing/>
        <w:jc w:val="both"/>
        <w:rPr>
          <w:rFonts w:ascii="Times New Roman" w:hAnsi="Times New Roman" w:cs="Times New Roman"/>
          <w:sz w:val="14"/>
          <w:szCs w:val="14"/>
          <w:lang w:val="en-US"/>
        </w:rPr>
      </w:pPr>
      <w:r w:rsidRPr="00297B88">
        <w:rPr>
          <w:rFonts w:ascii="Times New Roman" w:hAnsi="Times New Roman" w:cs="Times New Roman"/>
          <w:sz w:val="24"/>
          <w:szCs w:val="24"/>
          <w:lang w:val="en-US"/>
        </w:rPr>
        <w:t>at the High-Tech Park</w:t>
      </w:r>
      <w:r w:rsidR="00CA0CDF">
        <w:rPr>
          <w:rFonts w:ascii="Times New Roman" w:hAnsi="Times New Roman" w:cs="Times New Roman"/>
          <w:sz w:val="24"/>
          <w:szCs w:val="24"/>
          <w:lang w:val="en-US"/>
        </w:rPr>
        <w:t xml:space="preserve"> (Minsk)</w:t>
      </w:r>
      <w:r w:rsidR="00D9045D">
        <w:rPr>
          <w:rFonts w:ascii="Times New Roman" w:hAnsi="Times New Roman" w:cs="Times New Roman"/>
          <w:sz w:val="24"/>
          <w:szCs w:val="24"/>
          <w:lang w:val="en-US"/>
        </w:rPr>
        <w:t>;</w:t>
      </w:r>
    </w:p>
    <w:p w:rsidR="00297B88" w:rsidRPr="00297B88" w:rsidRDefault="00297B88" w:rsidP="00297B88">
      <w:pPr>
        <w:numPr>
          <w:ilvl w:val="0"/>
          <w:numId w:val="9"/>
        </w:numPr>
        <w:spacing w:after="150" w:line="190" w:lineRule="atLeast"/>
        <w:ind w:left="709" w:hanging="283"/>
        <w:contextualSpacing/>
        <w:jc w:val="both"/>
        <w:rPr>
          <w:rFonts w:ascii="Times New Roman" w:hAnsi="Times New Roman" w:cs="Times New Roman"/>
          <w:sz w:val="14"/>
          <w:szCs w:val="14"/>
          <w:lang w:val="en-US"/>
        </w:rPr>
      </w:pPr>
      <w:r w:rsidRPr="00297B88">
        <w:rPr>
          <w:rFonts w:ascii="Times New Roman" w:hAnsi="Times New Roman" w:cs="Times New Roman"/>
          <w:sz w:val="24"/>
          <w:szCs w:val="24"/>
          <w:lang w:val="en-US"/>
        </w:rPr>
        <w:t>on the territory of Free Economic Zones (FEZ); and</w:t>
      </w:r>
    </w:p>
    <w:p w:rsidR="00297B88" w:rsidRPr="00C653AF" w:rsidRDefault="00297B88" w:rsidP="00297B88">
      <w:pPr>
        <w:numPr>
          <w:ilvl w:val="0"/>
          <w:numId w:val="9"/>
        </w:numPr>
        <w:spacing w:after="150" w:line="190" w:lineRule="atLeast"/>
        <w:ind w:left="709" w:hanging="283"/>
        <w:contextualSpacing/>
        <w:jc w:val="both"/>
        <w:rPr>
          <w:rFonts w:ascii="Times New Roman" w:hAnsi="Times New Roman" w:cs="Times New Roman"/>
          <w:sz w:val="14"/>
          <w:szCs w:val="14"/>
          <w:lang w:val="en-US"/>
        </w:rPr>
      </w:pPr>
      <w:r w:rsidRPr="00297B88">
        <w:rPr>
          <w:rFonts w:ascii="Times New Roman" w:hAnsi="Times New Roman" w:cs="Times New Roman"/>
          <w:sz w:val="24"/>
          <w:szCs w:val="24"/>
          <w:lang w:val="en-US"/>
        </w:rPr>
        <w:t>in the case of entering into an investment agreement with the Republic of Belarus</w:t>
      </w:r>
      <w:r w:rsidR="00D9045D">
        <w:rPr>
          <w:rStyle w:val="a5"/>
          <w:rFonts w:ascii="Times New Roman" w:hAnsi="Times New Roman" w:cs="Times New Roman"/>
          <w:sz w:val="24"/>
          <w:szCs w:val="24"/>
          <w:lang w:val="en-US"/>
        </w:rPr>
        <w:footnoteReference w:id="5"/>
      </w:r>
      <w:r w:rsidRPr="00297B88">
        <w:rPr>
          <w:rFonts w:ascii="Times New Roman" w:hAnsi="Times New Roman" w:cs="Times New Roman"/>
          <w:sz w:val="24"/>
          <w:szCs w:val="24"/>
          <w:lang w:val="en-US"/>
        </w:rPr>
        <w:t>.</w:t>
      </w:r>
    </w:p>
    <w:p w:rsidR="00C653AF" w:rsidRPr="00297B88" w:rsidRDefault="00C653AF" w:rsidP="00D9045D">
      <w:pPr>
        <w:spacing w:after="150" w:line="190" w:lineRule="atLeast"/>
        <w:ind w:left="709"/>
        <w:contextualSpacing/>
        <w:jc w:val="both"/>
        <w:rPr>
          <w:rFonts w:ascii="Times New Roman" w:hAnsi="Times New Roman" w:cs="Times New Roman"/>
          <w:sz w:val="14"/>
          <w:szCs w:val="14"/>
          <w:lang w:val="en-US"/>
        </w:rPr>
      </w:pPr>
    </w:p>
    <w:p w:rsidR="00297B88" w:rsidRPr="00297B88" w:rsidRDefault="00297B88" w:rsidP="00297B88">
      <w:pPr>
        <w:spacing w:after="0" w:line="240" w:lineRule="auto"/>
        <w:jc w:val="both"/>
        <w:rPr>
          <w:rFonts w:ascii="Times New Roman" w:hAnsi="Times New Roman" w:cs="Times New Roman"/>
          <w:sz w:val="24"/>
          <w:szCs w:val="24"/>
          <w:lang w:val="en-US"/>
        </w:rPr>
      </w:pPr>
      <w:r w:rsidRPr="00297B88">
        <w:rPr>
          <w:rFonts w:ascii="Times New Roman" w:hAnsi="Times New Roman" w:cs="Times New Roman"/>
          <w:sz w:val="24"/>
          <w:szCs w:val="24"/>
          <w:lang w:val="en-US"/>
        </w:rPr>
        <w:t xml:space="preserve">Concerning the FEZ these have been established since 1996 to foster investment and </w:t>
      </w:r>
      <w:r w:rsidR="00CA0CDF">
        <w:rPr>
          <w:rFonts w:ascii="Times New Roman" w:hAnsi="Times New Roman" w:cs="Times New Roman"/>
          <w:sz w:val="24"/>
          <w:szCs w:val="24"/>
          <w:lang w:val="en-US"/>
        </w:rPr>
        <w:t>growth. They offer</w:t>
      </w:r>
      <w:r w:rsidRPr="00297B88">
        <w:rPr>
          <w:rFonts w:ascii="Times New Roman" w:hAnsi="Times New Roman" w:cs="Times New Roman"/>
          <w:sz w:val="24"/>
          <w:szCs w:val="24"/>
          <w:lang w:val="en-US"/>
        </w:rPr>
        <w:t xml:space="preserve"> tax and regulatory incentives including five year exemption from tax. </w:t>
      </w:r>
      <w:r w:rsidR="00CA0CDF">
        <w:rPr>
          <w:rFonts w:ascii="Times New Roman" w:hAnsi="Times New Roman" w:cs="Times New Roman"/>
          <w:sz w:val="24"/>
          <w:szCs w:val="24"/>
          <w:lang w:val="en-US"/>
        </w:rPr>
        <w:t>At the time of the fact finding mission for this Review,</w:t>
      </w:r>
      <w:r w:rsidRPr="00297B88">
        <w:rPr>
          <w:rFonts w:ascii="Times New Roman" w:hAnsi="Times New Roman" w:cs="Times New Roman"/>
          <w:sz w:val="24"/>
          <w:szCs w:val="24"/>
          <w:lang w:val="en-US"/>
        </w:rPr>
        <w:t xml:space="preserve"> six of the FEZ</w:t>
      </w:r>
      <w:r w:rsidR="00CA0CDF">
        <w:rPr>
          <w:rFonts w:ascii="Times New Roman" w:hAnsi="Times New Roman" w:cs="Times New Roman"/>
          <w:sz w:val="24"/>
          <w:szCs w:val="24"/>
          <w:lang w:val="en-US"/>
        </w:rPr>
        <w:t>s</w:t>
      </w:r>
      <w:r w:rsidRPr="00297B88">
        <w:rPr>
          <w:rFonts w:ascii="Times New Roman" w:hAnsi="Times New Roman" w:cs="Times New Roman"/>
          <w:sz w:val="24"/>
          <w:szCs w:val="24"/>
          <w:lang w:val="en-US"/>
        </w:rPr>
        <w:t xml:space="preserve"> are operat</w:t>
      </w:r>
      <w:r w:rsidR="00CA0CDF">
        <w:rPr>
          <w:rFonts w:ascii="Times New Roman" w:hAnsi="Times New Roman" w:cs="Times New Roman"/>
          <w:sz w:val="24"/>
          <w:szCs w:val="24"/>
          <w:lang w:val="en-US"/>
        </w:rPr>
        <w:t>ional</w:t>
      </w:r>
      <w:r w:rsidRPr="00297B88">
        <w:rPr>
          <w:rFonts w:ascii="Times New Roman" w:hAnsi="Times New Roman" w:cs="Times New Roman"/>
          <w:sz w:val="24"/>
          <w:szCs w:val="24"/>
          <w:lang w:val="en-US"/>
        </w:rPr>
        <w:t xml:space="preserve"> covering all strategic areas, both in terms of business sectors and geography. Its members are local entrepreneurs and foreign investors (almost 270 foreign businesses have taken advantage of FEZ)</w:t>
      </w:r>
      <w:r w:rsidR="00CA0CDF">
        <w:rPr>
          <w:rStyle w:val="a5"/>
          <w:rFonts w:ascii="Times New Roman" w:hAnsi="Times New Roman" w:cs="Times New Roman"/>
          <w:sz w:val="24"/>
          <w:szCs w:val="24"/>
          <w:lang w:val="en-US"/>
        </w:rPr>
        <w:footnoteReference w:id="6"/>
      </w:r>
      <w:r w:rsidRPr="00297B88">
        <w:rPr>
          <w:rFonts w:ascii="Times New Roman" w:hAnsi="Times New Roman" w:cs="Times New Roman"/>
          <w:sz w:val="24"/>
          <w:szCs w:val="24"/>
          <w:lang w:val="en-US"/>
        </w:rPr>
        <w:t xml:space="preserve">.   </w:t>
      </w:r>
    </w:p>
    <w:p w:rsidR="00297B88" w:rsidRPr="00297B88" w:rsidRDefault="00297B88" w:rsidP="00297B88">
      <w:pPr>
        <w:spacing w:after="0" w:line="240" w:lineRule="auto"/>
        <w:jc w:val="both"/>
        <w:rPr>
          <w:rFonts w:ascii="Times New Roman" w:hAnsi="Times New Roman" w:cs="Times New Roman"/>
          <w:sz w:val="24"/>
          <w:szCs w:val="24"/>
          <w:lang w:val="en-US"/>
        </w:rPr>
      </w:pPr>
    </w:p>
    <w:p w:rsidR="00297B88" w:rsidRPr="00297B88" w:rsidRDefault="00297B88" w:rsidP="00297B88">
      <w:pPr>
        <w:spacing w:after="0" w:line="240" w:lineRule="auto"/>
        <w:jc w:val="both"/>
        <w:rPr>
          <w:rFonts w:ascii="Times New Roman" w:hAnsi="Times New Roman" w:cs="Times New Roman"/>
          <w:sz w:val="24"/>
          <w:szCs w:val="24"/>
          <w:lang w:val="en-US"/>
        </w:rPr>
      </w:pPr>
      <w:r w:rsidRPr="00297B88">
        <w:rPr>
          <w:rFonts w:ascii="Times New Roman" w:hAnsi="Times New Roman" w:cs="Times New Roman"/>
          <w:sz w:val="24"/>
          <w:szCs w:val="24"/>
          <w:lang w:val="en-US"/>
        </w:rPr>
        <w:t>The current status of net foreign direct inflows</w:t>
      </w:r>
      <w:r w:rsidR="00CA0CDF">
        <w:rPr>
          <w:rFonts w:ascii="Times New Roman" w:hAnsi="Times New Roman" w:cs="Times New Roman"/>
          <w:sz w:val="24"/>
          <w:szCs w:val="24"/>
          <w:lang w:val="en-US"/>
        </w:rPr>
        <w:t xml:space="preserve"> for Belarus </w:t>
      </w:r>
      <w:r w:rsidRPr="00297B88">
        <w:rPr>
          <w:rFonts w:ascii="Times New Roman" w:hAnsi="Times New Roman" w:cs="Times New Roman"/>
          <w:sz w:val="24"/>
          <w:szCs w:val="24"/>
          <w:lang w:val="en-US"/>
        </w:rPr>
        <w:t xml:space="preserve">is displayed in </w:t>
      </w:r>
      <w:r w:rsidRPr="00D84349">
        <w:rPr>
          <w:rFonts w:ascii="Times New Roman" w:hAnsi="Times New Roman" w:cs="Times New Roman"/>
          <w:sz w:val="24"/>
          <w:szCs w:val="24"/>
          <w:highlight w:val="yellow"/>
          <w:lang w:val="en-US"/>
        </w:rPr>
        <w:t>table</w:t>
      </w:r>
      <w:r w:rsidR="00CA0CDF" w:rsidRPr="00D84349">
        <w:rPr>
          <w:rFonts w:ascii="Times New Roman" w:hAnsi="Times New Roman" w:cs="Times New Roman"/>
          <w:sz w:val="24"/>
          <w:szCs w:val="24"/>
          <w:highlight w:val="yellow"/>
          <w:lang w:val="en-US"/>
        </w:rPr>
        <w:t xml:space="preserve"> X</w:t>
      </w:r>
      <w:r w:rsidRPr="00297B88">
        <w:rPr>
          <w:rFonts w:ascii="Times New Roman" w:hAnsi="Times New Roman" w:cs="Times New Roman"/>
          <w:sz w:val="24"/>
          <w:szCs w:val="24"/>
          <w:lang w:val="en-US"/>
        </w:rPr>
        <w:t xml:space="preserve">. </w:t>
      </w:r>
      <w:r w:rsidRPr="00297B88">
        <w:rPr>
          <w:rFonts w:ascii="Times New Roman" w:hAnsi="Times New Roman" w:cs="Times New Roman"/>
          <w:sz w:val="24"/>
          <w:szCs w:val="24"/>
        </w:rPr>
        <w:t xml:space="preserve">Since 2011 the net foreign direct inflows remain on a very low level (slightly above or below 2 billion USD). Industry wise, the largest inflows are geared to low-tech industries like food, wood, coke, refined petroleum products. Priority medium-technology industries are the manufacture of machinery and manufacture, motor vehicles and equipment and transport/communications. </w:t>
      </w:r>
      <w:r w:rsidRPr="00297B88">
        <w:rPr>
          <w:rFonts w:ascii="Times New Roman" w:hAnsi="Times New Roman" w:cs="Times New Roman"/>
          <w:sz w:val="24"/>
          <w:szCs w:val="24"/>
          <w:lang w:val="en-US"/>
        </w:rPr>
        <w:t>At present the main investors in Belarus are Russia, Great Britain, The Netherlands, Cyprus, Austria, Germany, and China. According to the SCST</w:t>
      </w:r>
      <w:r w:rsidRPr="00297B88">
        <w:rPr>
          <w:rFonts w:ascii="Times New Roman" w:hAnsi="Times New Roman" w:cs="Times New Roman"/>
          <w:sz w:val="24"/>
          <w:szCs w:val="24"/>
          <w:vertAlign w:val="superscript"/>
          <w:lang w:val="en-US"/>
        </w:rPr>
        <w:footnoteReference w:id="7"/>
      </w:r>
      <w:r w:rsidRPr="00297B88">
        <w:rPr>
          <w:rFonts w:ascii="Times New Roman" w:hAnsi="Times New Roman" w:cs="Times New Roman"/>
          <w:sz w:val="24"/>
          <w:szCs w:val="24"/>
          <w:lang w:val="en-US"/>
        </w:rPr>
        <w:t xml:space="preserve"> there are at present 5.000 commercial companies with foreign capital located in Belarus. About 60 companies are affiliates from large, multinational companies.</w:t>
      </w:r>
    </w:p>
    <w:p w:rsidR="00297B88" w:rsidRPr="00297B88" w:rsidRDefault="00297B88" w:rsidP="00297B88">
      <w:pPr>
        <w:spacing w:after="0" w:line="240" w:lineRule="auto"/>
        <w:jc w:val="both"/>
        <w:rPr>
          <w:rFonts w:ascii="Times New Roman" w:hAnsi="Times New Roman" w:cs="Times New Roman"/>
          <w:sz w:val="24"/>
          <w:szCs w:val="24"/>
          <w:lang w:val="en-US"/>
        </w:rPr>
      </w:pPr>
    </w:p>
    <w:p w:rsidR="00297B88" w:rsidRPr="00297B88" w:rsidRDefault="00297B88" w:rsidP="00297B88">
      <w:pPr>
        <w:widowControl w:val="0"/>
        <w:spacing w:after="80" w:line="341" w:lineRule="exact"/>
        <w:ind w:left="23" w:right="23" w:hanging="23"/>
        <w:jc w:val="both"/>
        <w:rPr>
          <w:rFonts w:ascii="Times New Roman" w:eastAsiaTheme="minorEastAsia" w:hAnsi="Times New Roman" w:cs="Times New Roman"/>
          <w:sz w:val="24"/>
          <w:szCs w:val="24"/>
          <w:lang w:val="en-US" w:eastAsia="de-DE"/>
        </w:rPr>
      </w:pPr>
      <w:r w:rsidRPr="00D84349">
        <w:rPr>
          <w:rFonts w:ascii="Times New Roman" w:eastAsiaTheme="minorEastAsia" w:hAnsi="Times New Roman" w:cs="Times New Roman"/>
          <w:sz w:val="24"/>
          <w:szCs w:val="24"/>
          <w:highlight w:val="yellow"/>
          <w:lang w:val="en-US" w:eastAsia="de-DE"/>
        </w:rPr>
        <w:t>Table X</w:t>
      </w:r>
      <w:r w:rsidRPr="00297B88">
        <w:rPr>
          <w:rFonts w:ascii="Times New Roman" w:eastAsiaTheme="minorEastAsia" w:hAnsi="Times New Roman" w:cs="Times New Roman"/>
          <w:sz w:val="24"/>
          <w:szCs w:val="24"/>
          <w:lang w:val="en-US" w:eastAsia="de-DE"/>
        </w:rPr>
        <w:t xml:space="preserve">: </w:t>
      </w:r>
      <w:r w:rsidRPr="00297B88">
        <w:rPr>
          <w:rFonts w:ascii="Times New Roman" w:eastAsiaTheme="minorEastAsia" w:hAnsi="Times New Roman" w:cs="Times New Roman"/>
          <w:sz w:val="24"/>
          <w:szCs w:val="24"/>
          <w:lang w:val="en-US" w:eastAsia="de-DE"/>
        </w:rPr>
        <w:tab/>
        <w:t xml:space="preserve">Net foreign direct inflows 2008–2014 by main industries (in million USD)  </w:t>
      </w:r>
    </w:p>
    <w:tbl>
      <w:tblPr>
        <w:tblStyle w:val="TableGrid5"/>
        <w:tblW w:w="8931" w:type="dxa"/>
        <w:tblInd w:w="108" w:type="dxa"/>
        <w:tblLook w:val="04A0" w:firstRow="1" w:lastRow="0" w:firstColumn="1" w:lastColumn="0" w:noHBand="0" w:noVBand="1"/>
      </w:tblPr>
      <w:tblGrid>
        <w:gridCol w:w="2835"/>
        <w:gridCol w:w="851"/>
        <w:gridCol w:w="850"/>
        <w:gridCol w:w="851"/>
        <w:gridCol w:w="850"/>
        <w:gridCol w:w="851"/>
        <w:gridCol w:w="850"/>
        <w:gridCol w:w="993"/>
      </w:tblGrid>
      <w:tr w:rsidR="00297B88" w:rsidRPr="00297B88" w:rsidTr="00CE4161">
        <w:tc>
          <w:tcPr>
            <w:tcW w:w="2835" w:type="dxa"/>
          </w:tcPr>
          <w:p w:rsidR="00297B88" w:rsidRPr="00366A17" w:rsidRDefault="00297B88" w:rsidP="00297B88">
            <w:pPr>
              <w:widowControl w:val="0"/>
              <w:spacing w:line="341" w:lineRule="exact"/>
              <w:ind w:left="34" w:right="20"/>
              <w:rPr>
                <w:sz w:val="20"/>
                <w:szCs w:val="20"/>
                <w:lang w:val="en-US"/>
              </w:rPr>
            </w:pP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2008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2009</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2010</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2011</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2012</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2013</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2014</w:t>
            </w:r>
          </w:p>
        </w:tc>
      </w:tr>
      <w:tr w:rsidR="00297B88" w:rsidRPr="00297B88" w:rsidTr="00CE4161">
        <w:tc>
          <w:tcPr>
            <w:tcW w:w="2835" w:type="dxa"/>
          </w:tcPr>
          <w:p w:rsidR="00297B88" w:rsidRPr="00366A17" w:rsidRDefault="00297B88" w:rsidP="00297B88">
            <w:pPr>
              <w:widowControl w:val="0"/>
              <w:spacing w:line="341" w:lineRule="exact"/>
              <w:ind w:left="34" w:right="20" w:hanging="34"/>
              <w:rPr>
                <w:i/>
                <w:sz w:val="20"/>
                <w:szCs w:val="20"/>
                <w:lang w:val="en-US"/>
              </w:rPr>
            </w:pPr>
            <w:r w:rsidRPr="00366A17">
              <w:rPr>
                <w:i/>
                <w:sz w:val="20"/>
                <w:szCs w:val="20"/>
                <w:lang w:val="en-US"/>
              </w:rPr>
              <w:t>Total</w:t>
            </w:r>
          </w:p>
        </w:tc>
        <w:tc>
          <w:tcPr>
            <w:tcW w:w="851"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682</w:t>
            </w:r>
            <w:r w:rsidR="00792D70">
              <w:rPr>
                <w:sz w:val="20"/>
                <w:szCs w:val="20"/>
                <w:lang w:val="en-US"/>
              </w:rPr>
              <w:t>.</w:t>
            </w:r>
            <w:r w:rsidRPr="00366A17">
              <w:rPr>
                <w:sz w:val="20"/>
                <w:szCs w:val="20"/>
                <w:lang w:val="en-US"/>
              </w:rPr>
              <w:t>7</w:t>
            </w:r>
          </w:p>
        </w:tc>
        <w:tc>
          <w:tcPr>
            <w:tcW w:w="850"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420</w:t>
            </w:r>
            <w:r w:rsidR="00792D70">
              <w:rPr>
                <w:sz w:val="20"/>
                <w:szCs w:val="20"/>
                <w:lang w:val="en-US"/>
              </w:rPr>
              <w:t>.</w:t>
            </w:r>
            <w:r w:rsidRPr="00366A17">
              <w:rPr>
                <w:sz w:val="20"/>
                <w:szCs w:val="20"/>
                <w:lang w:val="en-US"/>
              </w:rPr>
              <w:t>9</w:t>
            </w:r>
          </w:p>
        </w:tc>
        <w:tc>
          <w:tcPr>
            <w:tcW w:w="851"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360</w:t>
            </w:r>
            <w:r w:rsidR="00792D70">
              <w:rPr>
                <w:sz w:val="20"/>
                <w:szCs w:val="20"/>
                <w:lang w:val="en-US"/>
              </w:rPr>
              <w:t>.</w:t>
            </w:r>
            <w:r w:rsidRPr="00366A17">
              <w:rPr>
                <w:sz w:val="20"/>
                <w:szCs w:val="20"/>
                <w:lang w:val="en-US"/>
              </w:rPr>
              <w:t>6</w:t>
            </w:r>
          </w:p>
        </w:tc>
        <w:tc>
          <w:tcPr>
            <w:tcW w:w="850"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2159</w:t>
            </w:r>
            <w:r w:rsidR="00792D70">
              <w:rPr>
                <w:sz w:val="20"/>
                <w:szCs w:val="20"/>
                <w:lang w:val="en-US"/>
              </w:rPr>
              <w:t>.</w:t>
            </w:r>
            <w:r w:rsidRPr="00366A17">
              <w:rPr>
                <w:sz w:val="20"/>
                <w:szCs w:val="20"/>
                <w:lang w:val="en-US"/>
              </w:rPr>
              <w:t>3</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-88</w:t>
            </w:r>
            <w:r w:rsidR="00792D70">
              <w:rPr>
                <w:sz w:val="20"/>
                <w:szCs w:val="20"/>
                <w:lang w:val="en-US"/>
              </w:rPr>
              <w:t>.</w:t>
            </w:r>
            <w:r w:rsidRPr="00366A17">
              <w:rPr>
                <w:sz w:val="20"/>
                <w:szCs w:val="20"/>
                <w:lang w:val="en-US"/>
              </w:rPr>
              <w:t>8</w:t>
            </w:r>
          </w:p>
        </w:tc>
        <w:tc>
          <w:tcPr>
            <w:tcW w:w="850"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1707</w:t>
            </w:r>
            <w:r w:rsidR="00792D70">
              <w:rPr>
                <w:sz w:val="20"/>
                <w:szCs w:val="20"/>
                <w:lang w:val="en-US"/>
              </w:rPr>
              <w:t>.</w:t>
            </w:r>
            <w:r w:rsidRPr="00366A17">
              <w:rPr>
                <w:sz w:val="20"/>
                <w:szCs w:val="20"/>
                <w:lang w:val="en-US"/>
              </w:rPr>
              <w:t>3</w:t>
            </w:r>
          </w:p>
        </w:tc>
        <w:tc>
          <w:tcPr>
            <w:tcW w:w="993"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1230</w:t>
            </w:r>
            <w:r w:rsidR="00792D70">
              <w:rPr>
                <w:sz w:val="20"/>
                <w:szCs w:val="20"/>
                <w:lang w:val="en-US"/>
              </w:rPr>
              <w:t>.</w:t>
            </w:r>
            <w:r w:rsidRPr="00366A17">
              <w:rPr>
                <w:sz w:val="20"/>
                <w:szCs w:val="20"/>
                <w:lang w:val="en-US"/>
              </w:rPr>
              <w:t>7</w:t>
            </w:r>
          </w:p>
        </w:tc>
      </w:tr>
      <w:tr w:rsidR="00297B88" w:rsidRPr="00297B88" w:rsidTr="00CE4161">
        <w:tc>
          <w:tcPr>
            <w:tcW w:w="2835" w:type="dxa"/>
          </w:tcPr>
          <w:p w:rsidR="00297B88" w:rsidRPr="00366A17" w:rsidRDefault="00297B88" w:rsidP="00297B88">
            <w:pPr>
              <w:widowControl w:val="0"/>
              <w:spacing w:line="341" w:lineRule="exact"/>
              <w:ind w:left="318" w:right="20" w:hanging="34"/>
              <w:jc w:val="both"/>
              <w:rPr>
                <w:sz w:val="20"/>
                <w:szCs w:val="20"/>
                <w:lang w:val="en-US"/>
              </w:rPr>
            </w:pPr>
            <w:r w:rsidRPr="00366A17">
              <w:rPr>
                <w:sz w:val="20"/>
                <w:szCs w:val="20"/>
                <w:lang w:val="en-US"/>
              </w:rPr>
              <w:t xml:space="preserve">of which: </w:t>
            </w:r>
          </w:p>
        </w:tc>
        <w:tc>
          <w:tcPr>
            <w:tcW w:w="851" w:type="dxa"/>
          </w:tcPr>
          <w:p w:rsidR="00297B88" w:rsidRPr="00366A17" w:rsidRDefault="00297B88" w:rsidP="00297B88">
            <w:pPr>
              <w:widowControl w:val="0"/>
              <w:spacing w:line="341" w:lineRule="exact"/>
              <w:ind w:right="20"/>
              <w:jc w:val="center"/>
              <w:rPr>
                <w:sz w:val="20"/>
                <w:szCs w:val="20"/>
                <w:lang w:val="en-US"/>
              </w:rPr>
            </w:pPr>
          </w:p>
        </w:tc>
        <w:tc>
          <w:tcPr>
            <w:tcW w:w="850" w:type="dxa"/>
          </w:tcPr>
          <w:p w:rsidR="00297B88" w:rsidRPr="00366A17" w:rsidRDefault="00297B88" w:rsidP="00297B88">
            <w:pPr>
              <w:widowControl w:val="0"/>
              <w:spacing w:line="341" w:lineRule="exact"/>
              <w:ind w:right="20"/>
              <w:jc w:val="center"/>
              <w:rPr>
                <w:sz w:val="20"/>
                <w:szCs w:val="20"/>
                <w:lang w:val="en-US"/>
              </w:rPr>
            </w:pPr>
          </w:p>
        </w:tc>
        <w:tc>
          <w:tcPr>
            <w:tcW w:w="851" w:type="dxa"/>
          </w:tcPr>
          <w:p w:rsidR="00297B88" w:rsidRPr="00366A17" w:rsidRDefault="00297B88" w:rsidP="00297B88">
            <w:pPr>
              <w:widowControl w:val="0"/>
              <w:spacing w:line="341" w:lineRule="exact"/>
              <w:ind w:right="20"/>
              <w:jc w:val="center"/>
              <w:rPr>
                <w:sz w:val="20"/>
                <w:szCs w:val="20"/>
                <w:lang w:val="en-US"/>
              </w:rPr>
            </w:pPr>
          </w:p>
        </w:tc>
        <w:tc>
          <w:tcPr>
            <w:tcW w:w="850" w:type="dxa"/>
          </w:tcPr>
          <w:p w:rsidR="00297B88" w:rsidRPr="00366A17" w:rsidRDefault="00297B88" w:rsidP="00297B88">
            <w:pPr>
              <w:widowControl w:val="0"/>
              <w:spacing w:line="341" w:lineRule="exact"/>
              <w:ind w:right="20"/>
              <w:jc w:val="center"/>
              <w:rPr>
                <w:sz w:val="20"/>
                <w:szCs w:val="20"/>
                <w:lang w:val="en-US"/>
              </w:rPr>
            </w:pPr>
          </w:p>
        </w:tc>
        <w:tc>
          <w:tcPr>
            <w:tcW w:w="851" w:type="dxa"/>
          </w:tcPr>
          <w:p w:rsidR="00297B88" w:rsidRPr="00366A17" w:rsidRDefault="00297B88" w:rsidP="00297B88">
            <w:pPr>
              <w:widowControl w:val="0"/>
              <w:spacing w:line="341" w:lineRule="exact"/>
              <w:ind w:right="20"/>
              <w:jc w:val="center"/>
              <w:rPr>
                <w:sz w:val="20"/>
                <w:szCs w:val="20"/>
                <w:lang w:val="en-US"/>
              </w:rPr>
            </w:pPr>
          </w:p>
        </w:tc>
        <w:tc>
          <w:tcPr>
            <w:tcW w:w="850" w:type="dxa"/>
          </w:tcPr>
          <w:p w:rsidR="00297B88" w:rsidRPr="00366A17" w:rsidRDefault="00297B88" w:rsidP="00297B88">
            <w:pPr>
              <w:widowControl w:val="0"/>
              <w:spacing w:line="341" w:lineRule="exact"/>
              <w:ind w:right="20"/>
              <w:jc w:val="center"/>
              <w:rPr>
                <w:sz w:val="20"/>
                <w:szCs w:val="20"/>
                <w:lang w:val="en-US"/>
              </w:rPr>
            </w:pPr>
          </w:p>
        </w:tc>
        <w:tc>
          <w:tcPr>
            <w:tcW w:w="993" w:type="dxa"/>
          </w:tcPr>
          <w:p w:rsidR="00297B88" w:rsidRPr="00366A17" w:rsidRDefault="00297B88" w:rsidP="00297B88">
            <w:pPr>
              <w:widowControl w:val="0"/>
              <w:spacing w:line="341" w:lineRule="exact"/>
              <w:ind w:right="20"/>
              <w:jc w:val="center"/>
              <w:rPr>
                <w:sz w:val="20"/>
                <w:szCs w:val="20"/>
                <w:lang w:val="en-US"/>
              </w:rPr>
            </w:pPr>
          </w:p>
        </w:tc>
      </w:tr>
      <w:tr w:rsidR="00297B88" w:rsidRPr="00297B88" w:rsidTr="00CE4161">
        <w:tc>
          <w:tcPr>
            <w:tcW w:w="2835" w:type="dxa"/>
          </w:tcPr>
          <w:p w:rsidR="00297B88" w:rsidRPr="00366A17" w:rsidRDefault="00297B88" w:rsidP="00297B88">
            <w:pPr>
              <w:widowControl w:val="0"/>
              <w:spacing w:line="341" w:lineRule="exact"/>
              <w:ind w:left="34" w:right="20" w:hanging="34"/>
              <w:jc w:val="both"/>
              <w:rPr>
                <w:sz w:val="20"/>
                <w:szCs w:val="20"/>
                <w:lang w:val="en-US"/>
              </w:rPr>
            </w:pPr>
            <w:r w:rsidRPr="00366A17">
              <w:rPr>
                <w:sz w:val="20"/>
                <w:szCs w:val="20"/>
                <w:lang w:val="en-US"/>
              </w:rPr>
              <w:t>Industry</w:t>
            </w:r>
          </w:p>
        </w:tc>
        <w:tc>
          <w:tcPr>
            <w:tcW w:w="851" w:type="dxa"/>
          </w:tcPr>
          <w:p w:rsidR="00297B88" w:rsidRPr="00366A17" w:rsidRDefault="00297B88" w:rsidP="00792D70">
            <w:pPr>
              <w:widowControl w:val="0"/>
              <w:spacing w:line="341" w:lineRule="exact"/>
              <w:ind w:right="20"/>
              <w:jc w:val="center"/>
              <w:rPr>
                <w:sz w:val="20"/>
                <w:szCs w:val="20"/>
                <w:lang w:val="en-US"/>
              </w:rPr>
            </w:pPr>
            <w:r w:rsidRPr="00366A17">
              <w:rPr>
                <w:sz w:val="20"/>
                <w:szCs w:val="20"/>
                <w:lang w:val="en-US"/>
              </w:rPr>
              <w:t>358</w:t>
            </w:r>
            <w:r w:rsidR="00792D70">
              <w:rPr>
                <w:sz w:val="20"/>
                <w:szCs w:val="20"/>
                <w:lang w:val="en-US"/>
              </w:rPr>
              <w:t>.</w:t>
            </w:r>
            <w:r w:rsidRPr="00366A17">
              <w:rPr>
                <w:sz w:val="20"/>
                <w:szCs w:val="20"/>
                <w:lang w:val="en-US"/>
              </w:rPr>
              <w:t>2</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103</w:t>
            </w:r>
            <w:r w:rsidR="00792D70">
              <w:rPr>
                <w:sz w:val="20"/>
                <w:szCs w:val="20"/>
                <w:lang w:val="en-US"/>
              </w:rPr>
              <w:t>.</w:t>
            </w:r>
            <w:r w:rsidRPr="00366A17">
              <w:rPr>
                <w:sz w:val="20"/>
                <w:szCs w:val="20"/>
                <w:lang w:val="en-US"/>
              </w:rPr>
              <w:t>8</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111</w:t>
            </w:r>
            <w:r w:rsidR="00792D70">
              <w:rPr>
                <w:sz w:val="20"/>
                <w:szCs w:val="20"/>
                <w:lang w:val="en-US"/>
              </w:rPr>
              <w:t>.</w:t>
            </w:r>
            <w:r w:rsidRPr="00366A17">
              <w:rPr>
                <w:sz w:val="20"/>
                <w:szCs w:val="20"/>
                <w:lang w:val="en-US"/>
              </w:rPr>
              <w:t>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431</w:t>
            </w:r>
            <w:r w:rsidR="00792D70">
              <w:rPr>
                <w:sz w:val="20"/>
                <w:szCs w:val="20"/>
                <w:lang w:val="en-US"/>
              </w:rPr>
              <w:t>.</w:t>
            </w:r>
            <w:r w:rsidRPr="00366A17">
              <w:rPr>
                <w:sz w:val="20"/>
                <w:szCs w:val="20"/>
                <w:lang w:val="en-US"/>
              </w:rPr>
              <w:t>2</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312</w:t>
            </w:r>
            <w:r w:rsidR="00792D70">
              <w:rPr>
                <w:sz w:val="20"/>
                <w:szCs w:val="20"/>
                <w:lang w:val="en-US"/>
              </w:rPr>
              <w:t>.</w:t>
            </w:r>
            <w:r w:rsidRPr="00366A17">
              <w:rPr>
                <w:sz w:val="20"/>
                <w:szCs w:val="20"/>
                <w:lang w:val="en-US"/>
              </w:rPr>
              <w:t>4</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675,6</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600,6</w:t>
            </w:r>
          </w:p>
        </w:tc>
      </w:tr>
      <w:tr w:rsidR="00297B88" w:rsidRPr="00297B88" w:rsidTr="00CE4161">
        <w:tc>
          <w:tcPr>
            <w:tcW w:w="2835" w:type="dxa"/>
          </w:tcPr>
          <w:p w:rsidR="00297B88" w:rsidRPr="00366A17" w:rsidRDefault="00297B88" w:rsidP="00297B88">
            <w:pPr>
              <w:widowControl w:val="0"/>
              <w:spacing w:before="80"/>
              <w:ind w:left="176" w:right="23" w:hanging="176"/>
              <w:rPr>
                <w:sz w:val="20"/>
                <w:szCs w:val="20"/>
                <w:lang w:val="en-US"/>
              </w:rPr>
            </w:pPr>
            <w:r w:rsidRPr="00366A17">
              <w:rPr>
                <w:sz w:val="20"/>
                <w:szCs w:val="20"/>
                <w:lang w:val="en-US"/>
              </w:rPr>
              <w:t xml:space="preserve">   Manufacture of food products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71,5</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51,0</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w:t>
            </w:r>
            <w:r w:rsidR="00792D70">
              <w:rPr>
                <w:sz w:val="20"/>
                <w:szCs w:val="20"/>
                <w:lang w:val="en-US"/>
              </w:rPr>
              <w:t>.</w:t>
            </w:r>
            <w:r w:rsidRPr="00366A17">
              <w:rPr>
                <w:sz w:val="20"/>
                <w:szCs w:val="20"/>
                <w:lang w:val="en-US"/>
              </w:rPr>
              <w:t>3</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86</w:t>
            </w:r>
            <w:r w:rsidR="00792D70">
              <w:rPr>
                <w:sz w:val="20"/>
                <w:szCs w:val="20"/>
                <w:lang w:val="en-US"/>
              </w:rPr>
              <w:t>.</w:t>
            </w:r>
            <w:r w:rsidRPr="00366A17">
              <w:rPr>
                <w:sz w:val="20"/>
                <w:szCs w:val="20"/>
                <w:lang w:val="en-US"/>
              </w:rPr>
              <w:t>4</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66</w:t>
            </w:r>
            <w:r w:rsidR="00792D70">
              <w:rPr>
                <w:sz w:val="20"/>
                <w:szCs w:val="20"/>
                <w:lang w:val="en-US"/>
              </w:rPr>
              <w:t>.</w:t>
            </w:r>
            <w:r w:rsidRPr="00366A17">
              <w:rPr>
                <w:sz w:val="20"/>
                <w:szCs w:val="20"/>
                <w:lang w:val="en-US"/>
              </w:rPr>
              <w:t>5</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59</w:t>
            </w:r>
            <w:r w:rsidR="00792D70">
              <w:rPr>
                <w:sz w:val="20"/>
                <w:szCs w:val="20"/>
                <w:lang w:val="en-US"/>
              </w:rPr>
              <w:t>.</w:t>
            </w:r>
            <w:r w:rsidRPr="00366A17">
              <w:rPr>
                <w:sz w:val="20"/>
                <w:szCs w:val="20"/>
                <w:lang w:val="en-US"/>
              </w:rPr>
              <w:t>1</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134</w:t>
            </w:r>
            <w:r w:rsidR="00792D70">
              <w:rPr>
                <w:sz w:val="20"/>
                <w:szCs w:val="20"/>
                <w:lang w:val="en-US"/>
              </w:rPr>
              <w:t>.</w:t>
            </w:r>
            <w:r w:rsidRPr="00366A17">
              <w:rPr>
                <w:sz w:val="20"/>
                <w:szCs w:val="20"/>
                <w:lang w:val="en-US"/>
              </w:rPr>
              <w:t>9</w:t>
            </w:r>
          </w:p>
        </w:tc>
      </w:tr>
      <w:tr w:rsidR="00297B88" w:rsidRPr="00297B88" w:rsidTr="00CE4161">
        <w:tc>
          <w:tcPr>
            <w:tcW w:w="2835" w:type="dxa"/>
          </w:tcPr>
          <w:p w:rsidR="00297B88" w:rsidRPr="00366A17" w:rsidRDefault="00297B88" w:rsidP="00297B88">
            <w:pPr>
              <w:widowControl w:val="0"/>
              <w:spacing w:before="80"/>
              <w:ind w:left="176" w:right="23" w:hanging="34"/>
              <w:rPr>
                <w:sz w:val="20"/>
                <w:szCs w:val="20"/>
                <w:lang w:val="en-US"/>
              </w:rPr>
            </w:pPr>
            <w:r w:rsidRPr="00366A17">
              <w:rPr>
                <w:sz w:val="20"/>
                <w:szCs w:val="20"/>
                <w:lang w:val="en-US"/>
              </w:rPr>
              <w:t>Manufacture of wood products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w:t>
            </w:r>
            <w:r w:rsidR="00792D70">
              <w:rPr>
                <w:sz w:val="20"/>
                <w:szCs w:val="20"/>
                <w:lang w:val="en-US"/>
              </w:rPr>
              <w:t>.</w:t>
            </w:r>
            <w:r w:rsidRPr="00366A17">
              <w:rPr>
                <w:sz w:val="20"/>
                <w:szCs w:val="20"/>
                <w:lang w:val="en-US"/>
              </w:rPr>
              <w:t>2</w:t>
            </w:r>
          </w:p>
        </w:tc>
        <w:tc>
          <w:tcPr>
            <w:tcW w:w="850" w:type="dxa"/>
          </w:tcPr>
          <w:p w:rsidR="00297B88" w:rsidRPr="00366A17" w:rsidRDefault="00297B88" w:rsidP="00297B88">
            <w:pPr>
              <w:widowControl w:val="0"/>
              <w:spacing w:line="341" w:lineRule="exact"/>
              <w:ind w:right="20"/>
              <w:rPr>
                <w:sz w:val="20"/>
                <w:szCs w:val="20"/>
                <w:lang w:val="en-US"/>
              </w:rPr>
            </w:pPr>
            <w:r w:rsidRPr="00366A17">
              <w:rPr>
                <w:sz w:val="20"/>
                <w:szCs w:val="20"/>
                <w:lang w:val="en-US"/>
              </w:rPr>
              <w:t>-5</w:t>
            </w:r>
            <w:r w:rsidR="00792D70">
              <w:rPr>
                <w:sz w:val="20"/>
                <w:szCs w:val="20"/>
                <w:lang w:val="en-US"/>
              </w:rPr>
              <w:t>.</w:t>
            </w:r>
            <w:r w:rsidRPr="00366A17">
              <w:rPr>
                <w:sz w:val="20"/>
                <w:szCs w:val="20"/>
                <w:lang w:val="en-US"/>
              </w:rPr>
              <w:t>7</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w:t>
            </w:r>
            <w:r w:rsidR="00792D70">
              <w:rPr>
                <w:sz w:val="20"/>
                <w:szCs w:val="20"/>
                <w:lang w:val="en-US"/>
              </w:rPr>
              <w:t>.</w:t>
            </w:r>
            <w:r w:rsidRPr="00366A17">
              <w:rPr>
                <w:sz w:val="20"/>
                <w:szCs w:val="20"/>
                <w:lang w:val="en-US"/>
              </w:rPr>
              <w:t>1</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15</w:t>
            </w:r>
            <w:r w:rsidR="00792D70">
              <w:rPr>
                <w:sz w:val="20"/>
                <w:szCs w:val="20"/>
                <w:lang w:val="en-US"/>
              </w:rPr>
              <w:t>.</w:t>
            </w:r>
            <w:r w:rsidRPr="00366A17">
              <w:rPr>
                <w:sz w:val="20"/>
                <w:szCs w:val="20"/>
                <w:lang w:val="en-US"/>
              </w:rPr>
              <w:t>8</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77</w:t>
            </w:r>
            <w:r w:rsidR="00792D70">
              <w:rPr>
                <w:sz w:val="20"/>
                <w:szCs w:val="20"/>
                <w:lang w:val="en-US"/>
              </w:rPr>
              <w:t>.</w:t>
            </w:r>
            <w:r w:rsidRPr="00366A17">
              <w:rPr>
                <w:sz w:val="20"/>
                <w:szCs w:val="20"/>
                <w:lang w:val="en-US"/>
              </w:rPr>
              <w:t>7</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80</w:t>
            </w:r>
            <w:r w:rsidR="00792D70">
              <w:rPr>
                <w:sz w:val="20"/>
                <w:szCs w:val="20"/>
                <w:lang w:val="en-US"/>
              </w:rPr>
              <w:t>.</w:t>
            </w:r>
            <w:r w:rsidRPr="00366A17">
              <w:rPr>
                <w:sz w:val="20"/>
                <w:szCs w:val="20"/>
                <w:lang w:val="en-US"/>
              </w:rPr>
              <w:t>5</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95</w:t>
            </w:r>
            <w:r w:rsidR="00792D70">
              <w:rPr>
                <w:sz w:val="20"/>
                <w:szCs w:val="20"/>
                <w:lang w:val="en-US"/>
              </w:rPr>
              <w:t>.</w:t>
            </w:r>
            <w:r w:rsidRPr="00366A17">
              <w:rPr>
                <w:sz w:val="20"/>
                <w:szCs w:val="20"/>
                <w:lang w:val="en-US"/>
              </w:rPr>
              <w:t>0</w:t>
            </w:r>
          </w:p>
        </w:tc>
      </w:tr>
      <w:tr w:rsidR="00297B88" w:rsidRPr="00297B88" w:rsidTr="00CE4161">
        <w:tc>
          <w:tcPr>
            <w:tcW w:w="2835" w:type="dxa"/>
          </w:tcPr>
          <w:p w:rsidR="00297B88" w:rsidRPr="00366A17" w:rsidRDefault="00297B88" w:rsidP="00792D70">
            <w:pPr>
              <w:widowControl w:val="0"/>
              <w:spacing w:before="80"/>
              <w:ind w:left="176" w:right="23" w:hanging="34"/>
              <w:rPr>
                <w:sz w:val="20"/>
                <w:szCs w:val="20"/>
                <w:lang w:val="en-US"/>
              </w:rPr>
            </w:pPr>
            <w:r w:rsidRPr="00366A17">
              <w:rPr>
                <w:sz w:val="20"/>
                <w:szCs w:val="20"/>
                <w:lang w:val="en-US"/>
              </w:rPr>
              <w:t>Manufacture of coke</w:t>
            </w:r>
            <w:r w:rsidR="00792D70">
              <w:rPr>
                <w:sz w:val="20"/>
                <w:szCs w:val="20"/>
                <w:lang w:val="en-US"/>
              </w:rPr>
              <w:t>,</w:t>
            </w:r>
            <w:r w:rsidRPr="00366A17">
              <w:rPr>
                <w:sz w:val="20"/>
                <w:szCs w:val="20"/>
                <w:lang w:val="en-US"/>
              </w:rPr>
              <w:t xml:space="preserve"> refined petroleum products and nuclear materials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51</w:t>
            </w:r>
            <w:r w:rsidR="00792D70">
              <w:rPr>
                <w:sz w:val="20"/>
                <w:szCs w:val="20"/>
                <w:lang w:val="en-US"/>
              </w:rPr>
              <w:t>.</w:t>
            </w:r>
            <w:r w:rsidRPr="00366A17">
              <w:rPr>
                <w:sz w:val="20"/>
                <w:szCs w:val="20"/>
                <w:lang w:val="en-US"/>
              </w:rPr>
              <w:t>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-0</w:t>
            </w:r>
            <w:r w:rsidR="00792D70">
              <w:rPr>
                <w:sz w:val="20"/>
                <w:szCs w:val="20"/>
                <w:lang w:val="en-US"/>
              </w:rPr>
              <w:t>.</w:t>
            </w:r>
            <w:r w:rsidRPr="00366A17">
              <w:rPr>
                <w:sz w:val="20"/>
                <w:szCs w:val="20"/>
                <w:lang w:val="en-US"/>
              </w:rPr>
              <w:t>5</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0</w:t>
            </w:r>
            <w:r w:rsidR="00792D70">
              <w:rPr>
                <w:sz w:val="20"/>
                <w:szCs w:val="20"/>
                <w:lang w:val="en-US"/>
              </w:rPr>
              <w:t>.</w:t>
            </w:r>
            <w:r w:rsidRPr="00366A17">
              <w:rPr>
                <w:sz w:val="20"/>
                <w:szCs w:val="20"/>
                <w:lang w:val="en-US"/>
              </w:rPr>
              <w:t>3</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w:t>
            </w:r>
            <w:r w:rsidR="00792D70">
              <w:rPr>
                <w:sz w:val="20"/>
                <w:szCs w:val="20"/>
                <w:lang w:val="en-US"/>
              </w:rPr>
              <w:t>.</w:t>
            </w:r>
            <w:r w:rsidRPr="00366A17">
              <w:rPr>
                <w:sz w:val="20"/>
                <w:szCs w:val="20"/>
                <w:lang w:val="en-US"/>
              </w:rPr>
              <w:t>3</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w:t>
            </w:r>
            <w:r w:rsidR="00792D70">
              <w:rPr>
                <w:sz w:val="20"/>
                <w:szCs w:val="20"/>
                <w:lang w:val="en-US"/>
              </w:rPr>
              <w:t>.</w:t>
            </w:r>
            <w:r w:rsidRPr="00366A17">
              <w:rPr>
                <w:sz w:val="20"/>
                <w:szCs w:val="20"/>
                <w:lang w:val="en-US"/>
              </w:rPr>
              <w:t>3</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140</w:t>
            </w:r>
            <w:r w:rsidR="00792D70">
              <w:rPr>
                <w:sz w:val="20"/>
                <w:szCs w:val="20"/>
                <w:lang w:val="en-US"/>
              </w:rPr>
              <w:t>.</w:t>
            </w:r>
            <w:r w:rsidRPr="00366A17">
              <w:rPr>
                <w:sz w:val="20"/>
                <w:szCs w:val="20"/>
                <w:lang w:val="en-US"/>
              </w:rPr>
              <w:t>2</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64</w:t>
            </w:r>
            <w:r w:rsidR="00792D70">
              <w:rPr>
                <w:sz w:val="20"/>
                <w:szCs w:val="20"/>
                <w:lang w:val="en-US"/>
              </w:rPr>
              <w:t>.</w:t>
            </w:r>
            <w:r w:rsidRPr="00366A17">
              <w:rPr>
                <w:sz w:val="20"/>
                <w:szCs w:val="20"/>
                <w:lang w:val="en-US"/>
              </w:rPr>
              <w:t>1</w:t>
            </w:r>
          </w:p>
        </w:tc>
      </w:tr>
      <w:tr w:rsidR="00297B88" w:rsidRPr="00297B88" w:rsidTr="00CE4161">
        <w:tc>
          <w:tcPr>
            <w:tcW w:w="2835" w:type="dxa"/>
          </w:tcPr>
          <w:p w:rsidR="00297B88" w:rsidRPr="00366A17" w:rsidRDefault="00297B88" w:rsidP="00297B88">
            <w:pPr>
              <w:widowControl w:val="0"/>
              <w:spacing w:before="80"/>
              <w:ind w:left="176" w:right="23" w:hanging="34"/>
              <w:rPr>
                <w:sz w:val="20"/>
                <w:szCs w:val="20"/>
                <w:lang w:val="en-US"/>
              </w:rPr>
            </w:pPr>
            <w:r w:rsidRPr="00366A17">
              <w:rPr>
                <w:sz w:val="20"/>
                <w:szCs w:val="20"/>
                <w:lang w:val="en-US"/>
              </w:rPr>
              <w:t>Manufacture of chemicals and chemical products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8</w:t>
            </w:r>
            <w:r w:rsidR="00792D70">
              <w:rPr>
                <w:sz w:val="20"/>
                <w:szCs w:val="20"/>
                <w:lang w:val="en-US"/>
              </w:rPr>
              <w:t>.</w:t>
            </w:r>
            <w:r w:rsidRPr="00366A17">
              <w:rPr>
                <w:sz w:val="20"/>
                <w:szCs w:val="20"/>
                <w:lang w:val="en-US"/>
              </w:rPr>
              <w:t>1</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w:t>
            </w:r>
            <w:r w:rsidR="00792D70">
              <w:rPr>
                <w:sz w:val="20"/>
                <w:szCs w:val="20"/>
                <w:lang w:val="en-US"/>
              </w:rPr>
              <w:t>.</w:t>
            </w:r>
            <w:r w:rsidRPr="00366A17">
              <w:rPr>
                <w:sz w:val="20"/>
                <w:szCs w:val="20"/>
                <w:lang w:val="en-US"/>
              </w:rPr>
              <w:t>8</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20</w:t>
            </w:r>
            <w:r w:rsidR="00792D70">
              <w:rPr>
                <w:sz w:val="20"/>
                <w:szCs w:val="20"/>
                <w:lang w:val="en-US"/>
              </w:rPr>
              <w:t>.</w:t>
            </w:r>
            <w:r w:rsidRPr="00366A17">
              <w:rPr>
                <w:sz w:val="20"/>
                <w:szCs w:val="20"/>
                <w:lang w:val="en-US"/>
              </w:rPr>
              <w:t>7</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35</w:t>
            </w:r>
            <w:r w:rsidR="00792D70">
              <w:rPr>
                <w:sz w:val="20"/>
                <w:szCs w:val="20"/>
                <w:lang w:val="en-US"/>
              </w:rPr>
              <w:t>.</w:t>
            </w:r>
            <w:r w:rsidRPr="00366A17">
              <w:rPr>
                <w:sz w:val="20"/>
                <w:szCs w:val="20"/>
                <w:lang w:val="en-US"/>
              </w:rPr>
              <w:t>5</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30</w:t>
            </w:r>
            <w:r w:rsidR="00792D70">
              <w:rPr>
                <w:sz w:val="20"/>
                <w:szCs w:val="20"/>
                <w:lang w:val="en-US"/>
              </w:rPr>
              <w:t>.</w:t>
            </w:r>
            <w:r w:rsidRPr="00366A17">
              <w:rPr>
                <w:sz w:val="20"/>
                <w:szCs w:val="20"/>
                <w:lang w:val="en-US"/>
              </w:rPr>
              <w:t>3</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75</w:t>
            </w:r>
            <w:r w:rsidR="00792D70">
              <w:rPr>
                <w:sz w:val="20"/>
                <w:szCs w:val="20"/>
                <w:lang w:val="en-US"/>
              </w:rPr>
              <w:t>.</w:t>
            </w:r>
            <w:r w:rsidRPr="00366A17">
              <w:rPr>
                <w:sz w:val="20"/>
                <w:szCs w:val="20"/>
                <w:lang w:val="en-US"/>
              </w:rPr>
              <w:t>5</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64</w:t>
            </w:r>
            <w:r w:rsidR="00792D70">
              <w:rPr>
                <w:sz w:val="20"/>
                <w:szCs w:val="20"/>
                <w:lang w:val="en-US"/>
              </w:rPr>
              <w:t>.</w:t>
            </w:r>
            <w:r w:rsidRPr="00366A17">
              <w:rPr>
                <w:sz w:val="20"/>
                <w:szCs w:val="20"/>
                <w:lang w:val="en-US"/>
              </w:rPr>
              <w:t>6</w:t>
            </w:r>
          </w:p>
        </w:tc>
      </w:tr>
      <w:tr w:rsidR="00297B88" w:rsidRPr="00297B88" w:rsidTr="00CE4161">
        <w:tc>
          <w:tcPr>
            <w:tcW w:w="2835" w:type="dxa"/>
          </w:tcPr>
          <w:p w:rsidR="00297B88" w:rsidRPr="00366A17" w:rsidRDefault="00297B88" w:rsidP="00297B88">
            <w:pPr>
              <w:widowControl w:val="0"/>
              <w:spacing w:before="80"/>
              <w:ind w:left="176" w:right="23" w:hanging="34"/>
              <w:rPr>
                <w:sz w:val="20"/>
                <w:szCs w:val="20"/>
                <w:lang w:val="en-US"/>
              </w:rPr>
            </w:pPr>
            <w:r w:rsidRPr="00366A17">
              <w:rPr>
                <w:sz w:val="20"/>
                <w:szCs w:val="20"/>
                <w:lang w:val="en-US"/>
              </w:rPr>
              <w:t>Manufacture of motor vehicles and equipment</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13</w:t>
            </w:r>
            <w:r w:rsidR="00792D70">
              <w:rPr>
                <w:sz w:val="20"/>
                <w:szCs w:val="20"/>
                <w:lang w:val="en-US"/>
              </w:rPr>
              <w:t>.</w:t>
            </w:r>
            <w:r w:rsidRPr="00366A17">
              <w:rPr>
                <w:sz w:val="20"/>
                <w:szCs w:val="20"/>
                <w:lang w:val="en-US"/>
              </w:rPr>
              <w:t>1</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-0</w:t>
            </w:r>
            <w:r w:rsidR="00792D70">
              <w:rPr>
                <w:sz w:val="20"/>
                <w:szCs w:val="20"/>
                <w:lang w:val="en-US"/>
              </w:rPr>
              <w:t>.</w:t>
            </w:r>
            <w:r w:rsidRPr="00366A17">
              <w:rPr>
                <w:sz w:val="20"/>
                <w:szCs w:val="20"/>
                <w:lang w:val="en-US"/>
              </w:rPr>
              <w:t>2</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w:t>
            </w:r>
            <w:r w:rsidR="00792D70">
              <w:rPr>
                <w:sz w:val="20"/>
                <w:szCs w:val="20"/>
                <w:lang w:val="en-US"/>
              </w:rPr>
              <w:t>.</w:t>
            </w:r>
            <w:r w:rsidRPr="00366A17">
              <w:rPr>
                <w:sz w:val="20"/>
                <w:szCs w:val="20"/>
                <w:lang w:val="en-US"/>
              </w:rPr>
              <w:t>7</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70</w:t>
            </w:r>
            <w:r w:rsidR="00792D70">
              <w:rPr>
                <w:sz w:val="20"/>
                <w:szCs w:val="20"/>
                <w:lang w:val="en-US"/>
              </w:rPr>
              <w:t>.</w:t>
            </w:r>
            <w:r w:rsidRPr="00366A17">
              <w:rPr>
                <w:sz w:val="20"/>
                <w:szCs w:val="20"/>
                <w:lang w:val="en-US"/>
              </w:rPr>
              <w:t>1</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38</w:t>
            </w:r>
            <w:r w:rsidR="00792D70">
              <w:rPr>
                <w:sz w:val="20"/>
                <w:szCs w:val="20"/>
                <w:lang w:val="en-US"/>
              </w:rPr>
              <w:t>.</w:t>
            </w:r>
            <w:r w:rsidRPr="00366A17">
              <w:rPr>
                <w:sz w:val="20"/>
                <w:szCs w:val="20"/>
                <w:lang w:val="en-US"/>
              </w:rPr>
              <w:t>7</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66</w:t>
            </w:r>
            <w:r w:rsidR="00792D70">
              <w:rPr>
                <w:sz w:val="20"/>
                <w:szCs w:val="20"/>
                <w:lang w:val="en-US"/>
              </w:rPr>
              <w:t>.</w:t>
            </w:r>
            <w:r w:rsidRPr="00366A17">
              <w:rPr>
                <w:sz w:val="20"/>
                <w:szCs w:val="20"/>
                <w:lang w:val="en-US"/>
              </w:rPr>
              <w:t>5</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64</w:t>
            </w:r>
            <w:r w:rsidR="00792D70">
              <w:rPr>
                <w:sz w:val="20"/>
                <w:szCs w:val="20"/>
                <w:lang w:val="en-US"/>
              </w:rPr>
              <w:t>.</w:t>
            </w:r>
            <w:r w:rsidRPr="00366A17">
              <w:rPr>
                <w:sz w:val="20"/>
                <w:szCs w:val="20"/>
                <w:lang w:val="en-US"/>
              </w:rPr>
              <w:t>1</w:t>
            </w:r>
          </w:p>
        </w:tc>
      </w:tr>
      <w:tr w:rsidR="00297B88" w:rsidRPr="00297B88" w:rsidTr="00CE4161">
        <w:tc>
          <w:tcPr>
            <w:tcW w:w="2835" w:type="dxa"/>
          </w:tcPr>
          <w:p w:rsidR="00297B88" w:rsidRPr="00366A17" w:rsidRDefault="00297B88" w:rsidP="00297B88">
            <w:pPr>
              <w:widowControl w:val="0"/>
              <w:spacing w:before="80"/>
              <w:ind w:left="176" w:right="23" w:hanging="34"/>
              <w:rPr>
                <w:sz w:val="20"/>
                <w:szCs w:val="20"/>
                <w:lang w:val="en-US"/>
              </w:rPr>
            </w:pPr>
            <w:r w:rsidRPr="00366A17">
              <w:rPr>
                <w:sz w:val="20"/>
                <w:szCs w:val="20"/>
                <w:lang w:val="en-US"/>
              </w:rPr>
              <w:lastRenderedPageBreak/>
              <w:t>Manufacture of machinery and equipment</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32</w:t>
            </w:r>
            <w:r w:rsidR="00792D70">
              <w:rPr>
                <w:sz w:val="20"/>
                <w:szCs w:val="20"/>
                <w:lang w:val="en-US"/>
              </w:rPr>
              <w:t>.</w:t>
            </w:r>
            <w:r w:rsidRPr="00366A17">
              <w:rPr>
                <w:sz w:val="20"/>
                <w:szCs w:val="20"/>
                <w:lang w:val="en-US"/>
              </w:rPr>
              <w:t>7</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w:t>
            </w:r>
            <w:r w:rsidR="00792D70">
              <w:rPr>
                <w:sz w:val="20"/>
                <w:szCs w:val="20"/>
                <w:lang w:val="en-US"/>
              </w:rPr>
              <w:t>.</w:t>
            </w:r>
            <w:r w:rsidRPr="00366A17">
              <w:rPr>
                <w:sz w:val="20"/>
                <w:szCs w:val="20"/>
                <w:lang w:val="en-US"/>
              </w:rPr>
              <w:t>1</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22</w:t>
            </w:r>
            <w:r w:rsidR="00792D70">
              <w:rPr>
                <w:sz w:val="20"/>
                <w:szCs w:val="20"/>
                <w:lang w:val="en-US"/>
              </w:rPr>
              <w:t>.</w:t>
            </w:r>
            <w:r w:rsidRPr="00366A17">
              <w:rPr>
                <w:sz w:val="20"/>
                <w:szCs w:val="20"/>
                <w:lang w:val="en-US"/>
              </w:rPr>
              <w:t>0</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39</w:t>
            </w:r>
            <w:r w:rsidR="00792D70">
              <w:rPr>
                <w:sz w:val="20"/>
                <w:szCs w:val="20"/>
                <w:lang w:val="en-US"/>
              </w:rPr>
              <w:t>.</w:t>
            </w:r>
            <w:r w:rsidRPr="00366A17">
              <w:rPr>
                <w:sz w:val="20"/>
                <w:szCs w:val="20"/>
                <w:lang w:val="en-US"/>
              </w:rPr>
              <w:t>9</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-40</w:t>
            </w:r>
            <w:r w:rsidR="00792D70">
              <w:rPr>
                <w:sz w:val="20"/>
                <w:szCs w:val="20"/>
                <w:lang w:val="en-US"/>
              </w:rPr>
              <w:t>.</w:t>
            </w:r>
            <w:r w:rsidRPr="00366A17">
              <w:rPr>
                <w:sz w:val="20"/>
                <w:szCs w:val="20"/>
                <w:lang w:val="en-US"/>
              </w:rPr>
              <w:t>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49</w:t>
            </w:r>
            <w:r w:rsidR="00792D70">
              <w:rPr>
                <w:sz w:val="20"/>
                <w:szCs w:val="20"/>
                <w:lang w:val="en-US"/>
              </w:rPr>
              <w:t>.</w:t>
            </w:r>
            <w:r w:rsidRPr="00366A17">
              <w:rPr>
                <w:sz w:val="20"/>
                <w:szCs w:val="20"/>
                <w:lang w:val="en-US"/>
              </w:rPr>
              <w:t>4</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48</w:t>
            </w:r>
            <w:r w:rsidR="00792D70">
              <w:rPr>
                <w:sz w:val="20"/>
                <w:szCs w:val="20"/>
                <w:lang w:val="en-US"/>
              </w:rPr>
              <w:t>.</w:t>
            </w:r>
            <w:r w:rsidRPr="00366A17">
              <w:rPr>
                <w:sz w:val="20"/>
                <w:szCs w:val="20"/>
                <w:lang w:val="en-US"/>
              </w:rPr>
              <w:t>3</w:t>
            </w:r>
          </w:p>
        </w:tc>
      </w:tr>
      <w:tr w:rsidR="00297B88" w:rsidRPr="00297B88" w:rsidTr="00CE4161">
        <w:tc>
          <w:tcPr>
            <w:tcW w:w="2835" w:type="dxa"/>
          </w:tcPr>
          <w:p w:rsidR="00297B88" w:rsidRPr="00366A17" w:rsidRDefault="00297B88" w:rsidP="00792D70">
            <w:pPr>
              <w:widowControl w:val="0"/>
              <w:spacing w:before="80"/>
              <w:ind w:left="34" w:right="23" w:hanging="34"/>
              <w:rPr>
                <w:sz w:val="20"/>
                <w:szCs w:val="20"/>
                <w:lang w:val="en-US"/>
              </w:rPr>
            </w:pPr>
            <w:r w:rsidRPr="00366A17">
              <w:rPr>
                <w:sz w:val="20"/>
                <w:szCs w:val="20"/>
                <w:lang w:val="en-US"/>
              </w:rPr>
              <w:t>Trade</w:t>
            </w:r>
            <w:r w:rsidR="00792D70">
              <w:rPr>
                <w:sz w:val="20"/>
                <w:szCs w:val="20"/>
                <w:lang w:val="en-US"/>
              </w:rPr>
              <w:t>,</w:t>
            </w:r>
            <w:r w:rsidRPr="00366A17">
              <w:rPr>
                <w:sz w:val="20"/>
                <w:szCs w:val="20"/>
                <w:lang w:val="en-US"/>
              </w:rPr>
              <w:t xml:space="preserve"> household and personal goods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99</w:t>
            </w:r>
            <w:r w:rsidR="00792D70">
              <w:rPr>
                <w:sz w:val="20"/>
                <w:szCs w:val="20"/>
                <w:lang w:val="en-US"/>
              </w:rPr>
              <w:t>.</w:t>
            </w:r>
            <w:r w:rsidRPr="00366A17">
              <w:rPr>
                <w:sz w:val="20"/>
                <w:szCs w:val="20"/>
                <w:lang w:val="en-US"/>
              </w:rPr>
              <w:t>6</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55</w:t>
            </w:r>
            <w:r w:rsidR="00792D70">
              <w:rPr>
                <w:sz w:val="20"/>
                <w:szCs w:val="20"/>
                <w:lang w:val="en-US"/>
              </w:rPr>
              <w:t>.</w:t>
            </w:r>
            <w:r w:rsidRPr="00366A17">
              <w:rPr>
                <w:sz w:val="20"/>
                <w:szCs w:val="20"/>
                <w:lang w:val="en-US"/>
              </w:rPr>
              <w:t>1</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-29</w:t>
            </w:r>
            <w:r w:rsidR="00792D70">
              <w:rPr>
                <w:sz w:val="20"/>
                <w:szCs w:val="20"/>
                <w:lang w:val="en-US"/>
              </w:rPr>
              <w:t>.</w:t>
            </w:r>
            <w:r w:rsidRPr="00366A17">
              <w:rPr>
                <w:sz w:val="20"/>
                <w:szCs w:val="20"/>
                <w:lang w:val="en-US"/>
              </w:rPr>
              <w:t>9</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703</w:t>
            </w:r>
            <w:r w:rsidR="00792D70">
              <w:rPr>
                <w:sz w:val="20"/>
                <w:szCs w:val="20"/>
                <w:lang w:val="en-US"/>
              </w:rPr>
              <w:t>.</w:t>
            </w:r>
            <w:r w:rsidRPr="00366A17">
              <w:rPr>
                <w:sz w:val="20"/>
                <w:szCs w:val="20"/>
                <w:lang w:val="en-US"/>
              </w:rPr>
              <w:t>9</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-245</w:t>
            </w:r>
            <w:r w:rsidR="00792D70">
              <w:rPr>
                <w:sz w:val="20"/>
                <w:szCs w:val="20"/>
                <w:lang w:val="en-US"/>
              </w:rPr>
              <w:t>.</w:t>
            </w:r>
            <w:r w:rsidRPr="00366A17">
              <w:rPr>
                <w:sz w:val="20"/>
                <w:szCs w:val="20"/>
                <w:lang w:val="en-US"/>
              </w:rPr>
              <w:t>9</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265</w:t>
            </w:r>
            <w:r w:rsidR="00792D70">
              <w:rPr>
                <w:sz w:val="20"/>
                <w:szCs w:val="20"/>
                <w:lang w:val="en-US"/>
              </w:rPr>
              <w:t>.</w:t>
            </w:r>
            <w:r w:rsidRPr="00366A17">
              <w:rPr>
                <w:sz w:val="20"/>
                <w:szCs w:val="20"/>
                <w:lang w:val="en-US"/>
              </w:rPr>
              <w:t>1</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105,7</w:t>
            </w:r>
          </w:p>
        </w:tc>
      </w:tr>
      <w:tr w:rsidR="00297B88" w:rsidRPr="00297B88" w:rsidTr="00CE4161">
        <w:tc>
          <w:tcPr>
            <w:tcW w:w="2835" w:type="dxa"/>
          </w:tcPr>
          <w:p w:rsidR="00297B88" w:rsidRPr="00366A17" w:rsidRDefault="00297B88" w:rsidP="00297B88">
            <w:pPr>
              <w:widowControl w:val="0"/>
              <w:spacing w:before="80"/>
              <w:ind w:left="34" w:right="23" w:hanging="34"/>
              <w:rPr>
                <w:sz w:val="20"/>
                <w:szCs w:val="20"/>
                <w:lang w:val="en-US"/>
              </w:rPr>
            </w:pPr>
            <w:r w:rsidRPr="00366A17">
              <w:rPr>
                <w:sz w:val="20"/>
                <w:szCs w:val="20"/>
                <w:lang w:val="en-US"/>
              </w:rPr>
              <w:t>Real estate, renting and business services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59,9</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107,9</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250,3</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144,4</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299,9</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195,9</w:t>
            </w:r>
          </w:p>
        </w:tc>
      </w:tr>
      <w:tr w:rsidR="00297B88" w:rsidRPr="00297B88" w:rsidTr="00CE4161">
        <w:tc>
          <w:tcPr>
            <w:tcW w:w="2835" w:type="dxa"/>
          </w:tcPr>
          <w:p w:rsidR="00297B88" w:rsidRPr="00366A17" w:rsidRDefault="00297B88" w:rsidP="00297B88">
            <w:pPr>
              <w:widowControl w:val="0"/>
              <w:spacing w:before="80"/>
              <w:ind w:left="34" w:right="23" w:hanging="34"/>
              <w:rPr>
                <w:sz w:val="20"/>
                <w:szCs w:val="20"/>
                <w:lang w:val="en-US"/>
              </w:rPr>
            </w:pPr>
            <w:r w:rsidRPr="00366A17">
              <w:rPr>
                <w:sz w:val="20"/>
                <w:szCs w:val="20"/>
                <w:lang w:val="en-US"/>
              </w:rPr>
              <w:t>Transport and communications</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106,8</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119,7</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251,1</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674,3</w:t>
            </w:r>
          </w:p>
        </w:tc>
        <w:tc>
          <w:tcPr>
            <w:tcW w:w="851"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-442,2</w:t>
            </w:r>
          </w:p>
        </w:tc>
        <w:tc>
          <w:tcPr>
            <w:tcW w:w="850"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222,1</w:t>
            </w:r>
          </w:p>
        </w:tc>
        <w:tc>
          <w:tcPr>
            <w:tcW w:w="993" w:type="dxa"/>
          </w:tcPr>
          <w:p w:rsidR="00297B88" w:rsidRPr="00366A17" w:rsidRDefault="00297B88" w:rsidP="00297B88">
            <w:pPr>
              <w:widowControl w:val="0"/>
              <w:spacing w:line="341" w:lineRule="exact"/>
              <w:ind w:right="20"/>
              <w:jc w:val="center"/>
              <w:rPr>
                <w:sz w:val="20"/>
                <w:szCs w:val="20"/>
                <w:lang w:val="en-US"/>
              </w:rPr>
            </w:pPr>
            <w:r w:rsidRPr="00366A17">
              <w:rPr>
                <w:sz w:val="20"/>
                <w:szCs w:val="20"/>
                <w:lang w:val="en-US"/>
              </w:rPr>
              <w:t>88,9</w:t>
            </w:r>
          </w:p>
        </w:tc>
      </w:tr>
    </w:tbl>
    <w:p w:rsidR="00297B88" w:rsidRPr="00297B88" w:rsidRDefault="00297B88" w:rsidP="00297B88">
      <w:pPr>
        <w:spacing w:before="60" w:after="0" w:line="240" w:lineRule="auto"/>
        <w:jc w:val="both"/>
        <w:rPr>
          <w:rFonts w:ascii="Times New Roman" w:hAnsi="Times New Roman" w:cs="Times New Roman"/>
          <w:b/>
          <w:i/>
          <w:sz w:val="20"/>
          <w:szCs w:val="20"/>
          <w:lang w:val="en-US"/>
        </w:rPr>
      </w:pPr>
      <w:r w:rsidRPr="00297B88">
        <w:rPr>
          <w:rFonts w:ascii="Times New Roman" w:hAnsi="Times New Roman" w:cs="Times New Roman"/>
          <w:sz w:val="20"/>
          <w:szCs w:val="20"/>
        </w:rPr>
        <w:t>Source: National Statistical Committee of the Republic of Belarus: Statistical Yearbook 2015</w:t>
      </w:r>
    </w:p>
    <w:p w:rsidR="00297B88" w:rsidRPr="00297B88" w:rsidRDefault="00297B88" w:rsidP="00297B88">
      <w:pPr>
        <w:spacing w:after="0" w:line="240" w:lineRule="auto"/>
        <w:jc w:val="both"/>
        <w:rPr>
          <w:rFonts w:ascii="Times New Roman" w:hAnsi="Times New Roman" w:cs="Times New Roman"/>
          <w:sz w:val="24"/>
          <w:szCs w:val="24"/>
          <w:lang w:val="en-US"/>
        </w:rPr>
      </w:pPr>
    </w:p>
    <w:p w:rsidR="00575FE8" w:rsidRPr="00D84349" w:rsidRDefault="00575FE8" w:rsidP="00575FE8">
      <w:pPr>
        <w:spacing w:after="0" w:line="240" w:lineRule="auto"/>
        <w:jc w:val="both"/>
        <w:rPr>
          <w:rFonts w:ascii="Times New Roman" w:hAnsi="Times New Roman" w:cs="Times New Roman"/>
          <w:i/>
          <w:sz w:val="24"/>
          <w:szCs w:val="24"/>
        </w:rPr>
      </w:pPr>
      <w:r w:rsidRPr="00D84349">
        <w:rPr>
          <w:rFonts w:ascii="Times New Roman" w:hAnsi="Times New Roman" w:cs="Times New Roman"/>
          <w:i/>
          <w:sz w:val="24"/>
          <w:szCs w:val="24"/>
        </w:rPr>
        <w:t xml:space="preserve">Sources of innovation funding – recent developments </w:t>
      </w:r>
    </w:p>
    <w:p w:rsidR="00575FE8" w:rsidRPr="00575FE8" w:rsidRDefault="00575FE8" w:rsidP="00575FE8">
      <w:pPr>
        <w:spacing w:after="0" w:line="240" w:lineRule="auto"/>
        <w:jc w:val="both"/>
        <w:rPr>
          <w:rFonts w:ascii="Times New Roman" w:hAnsi="Times New Roman" w:cs="Times New Roman"/>
          <w:b/>
          <w:i/>
          <w:sz w:val="24"/>
          <w:szCs w:val="24"/>
        </w:rPr>
      </w:pPr>
    </w:p>
    <w:p w:rsidR="00D27673"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Belarus </w:t>
      </w:r>
      <w:r>
        <w:rPr>
          <w:rFonts w:ascii="Times New Roman" w:hAnsi="Times New Roman" w:cs="Times New Roman"/>
          <w:sz w:val="24"/>
          <w:szCs w:val="24"/>
        </w:rPr>
        <w:t>relies on</w:t>
      </w:r>
      <w:r w:rsidRPr="00575FE8">
        <w:rPr>
          <w:rFonts w:ascii="Times New Roman" w:hAnsi="Times New Roman" w:cs="Times New Roman"/>
          <w:sz w:val="24"/>
          <w:szCs w:val="24"/>
        </w:rPr>
        <w:t xml:space="preserve"> a banking sector, which is dominated by state-owned institution</w:t>
      </w:r>
      <w:r>
        <w:rPr>
          <w:rFonts w:ascii="Times New Roman" w:hAnsi="Times New Roman" w:cs="Times New Roman"/>
          <w:sz w:val="24"/>
          <w:szCs w:val="24"/>
        </w:rPr>
        <w:t>s, with</w:t>
      </w:r>
      <w:r w:rsidRPr="00575FE8">
        <w:rPr>
          <w:rFonts w:ascii="Times New Roman" w:hAnsi="Times New Roman" w:cs="Times New Roman"/>
          <w:sz w:val="24"/>
          <w:szCs w:val="24"/>
        </w:rPr>
        <w:t xml:space="preserve"> most decisions on financing innovation in Belarus taken by public authorities</w:t>
      </w:r>
      <w:r>
        <w:rPr>
          <w:rFonts w:ascii="Times New Roman" w:hAnsi="Times New Roman" w:cs="Times New Roman"/>
          <w:sz w:val="24"/>
          <w:szCs w:val="24"/>
        </w:rPr>
        <w:t xml:space="preserve">. </w:t>
      </w:r>
      <w:r w:rsidRPr="00575FE8">
        <w:rPr>
          <w:rFonts w:ascii="Times New Roman" w:hAnsi="Times New Roman" w:cs="Times New Roman"/>
          <w:sz w:val="24"/>
          <w:szCs w:val="24"/>
        </w:rPr>
        <w:t>Private initiatives and institutions</w:t>
      </w:r>
      <w:r w:rsidR="00D27673">
        <w:t xml:space="preserve"> </w:t>
      </w:r>
      <w:r w:rsidR="00D27673" w:rsidRPr="00D27673">
        <w:rPr>
          <w:rFonts w:ascii="Times New Roman" w:hAnsi="Times New Roman" w:cs="Times New Roman"/>
          <w:sz w:val="24"/>
          <w:szCs w:val="24"/>
        </w:rPr>
        <w:t>originated over the last 5 years</w:t>
      </w:r>
      <w:r w:rsidRPr="00575FE8">
        <w:rPr>
          <w:rFonts w:ascii="Times New Roman" w:hAnsi="Times New Roman" w:cs="Times New Roman"/>
          <w:sz w:val="24"/>
          <w:szCs w:val="24"/>
        </w:rPr>
        <w:t xml:space="preserve"> </w:t>
      </w:r>
      <w:r w:rsidR="00D27673">
        <w:rPr>
          <w:rFonts w:ascii="Times New Roman" w:hAnsi="Times New Roman" w:cs="Times New Roman"/>
          <w:sz w:val="24"/>
          <w:szCs w:val="24"/>
        </w:rPr>
        <w:t xml:space="preserve">and </w:t>
      </w:r>
      <w:r w:rsidRPr="00575FE8">
        <w:rPr>
          <w:rFonts w:ascii="Times New Roman" w:hAnsi="Times New Roman" w:cs="Times New Roman"/>
          <w:sz w:val="24"/>
          <w:szCs w:val="24"/>
        </w:rPr>
        <w:t>are complementary actors in the field of i</w:t>
      </w:r>
      <w:r w:rsidR="00D27673">
        <w:rPr>
          <w:rFonts w:ascii="Times New Roman" w:hAnsi="Times New Roman" w:cs="Times New Roman"/>
          <w:sz w:val="24"/>
          <w:szCs w:val="24"/>
        </w:rPr>
        <w:t>nnovation financing</w:t>
      </w:r>
      <w:r w:rsidRPr="00575FE8">
        <w:rPr>
          <w:rFonts w:ascii="Times New Roman" w:hAnsi="Times New Roman" w:cs="Times New Roman"/>
          <w:sz w:val="24"/>
          <w:szCs w:val="24"/>
        </w:rPr>
        <w:t>. However, since the</w:t>
      </w:r>
      <w:r w:rsidR="00674F41">
        <w:rPr>
          <w:rFonts w:ascii="Times New Roman" w:hAnsi="Times New Roman" w:cs="Times New Roman"/>
          <w:sz w:val="24"/>
          <w:szCs w:val="24"/>
        </w:rPr>
        <w:t xml:space="preserve"> time of the</w:t>
      </w:r>
      <w:r w:rsidRPr="00575FE8">
        <w:rPr>
          <w:rFonts w:ascii="Times New Roman" w:hAnsi="Times New Roman" w:cs="Times New Roman"/>
          <w:sz w:val="24"/>
          <w:szCs w:val="24"/>
        </w:rPr>
        <w:t xml:space="preserve"> last Innovation Performance Review in 2010, the Belarusian R&amp;D and innovation financing system has been further developed and adapted to the specific needs of technology-oriented and innovative companies (incl. start-up companies) and to the objectives of national innovation policy as a whole. </w:t>
      </w:r>
    </w:p>
    <w:p w:rsidR="00D27673" w:rsidRDefault="00D27673" w:rsidP="00575FE8">
      <w:pPr>
        <w:spacing w:after="0" w:line="240" w:lineRule="auto"/>
        <w:jc w:val="both"/>
        <w:rPr>
          <w:rFonts w:ascii="Times New Roman" w:hAnsi="Times New Roman" w:cs="Times New Roman"/>
          <w:sz w:val="24"/>
          <w:szCs w:val="24"/>
        </w:rPr>
      </w:pPr>
    </w:p>
    <w:p w:rsidR="00575FE8" w:rsidRPr="00575FE8" w:rsidRDefault="00D27673" w:rsidP="0057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instance,</w:t>
      </w:r>
      <w:r w:rsidR="00575FE8" w:rsidRPr="00575FE8">
        <w:rPr>
          <w:rFonts w:ascii="Times New Roman" w:hAnsi="Times New Roman" w:cs="Times New Roman"/>
          <w:sz w:val="24"/>
          <w:szCs w:val="24"/>
        </w:rPr>
        <w:t xml:space="preserve"> </w:t>
      </w:r>
      <w:r>
        <w:rPr>
          <w:rFonts w:ascii="Times New Roman" w:hAnsi="Times New Roman" w:cs="Times New Roman"/>
          <w:i/>
          <w:sz w:val="24"/>
          <w:szCs w:val="24"/>
        </w:rPr>
        <w:t>a</w:t>
      </w:r>
      <w:r w:rsidR="00575FE8" w:rsidRPr="00575FE8">
        <w:rPr>
          <w:rFonts w:ascii="Times New Roman" w:hAnsi="Times New Roman" w:cs="Times New Roman"/>
          <w:i/>
          <w:sz w:val="24"/>
          <w:szCs w:val="24"/>
        </w:rPr>
        <w:t xml:space="preserve"> Development Bank</w:t>
      </w:r>
      <w:r w:rsidR="00575FE8" w:rsidRPr="00575FE8">
        <w:rPr>
          <w:rFonts w:ascii="Times New Roman" w:hAnsi="Times New Roman" w:cs="Times New Roman"/>
          <w:sz w:val="24"/>
          <w:szCs w:val="24"/>
        </w:rPr>
        <w:t xml:space="preserve"> </w:t>
      </w:r>
      <w:r>
        <w:rPr>
          <w:rFonts w:ascii="Times New Roman" w:hAnsi="Times New Roman" w:cs="Times New Roman"/>
          <w:sz w:val="24"/>
          <w:szCs w:val="24"/>
        </w:rPr>
        <w:t xml:space="preserve">was created, </w:t>
      </w:r>
      <w:r w:rsidR="00575FE8" w:rsidRPr="00575FE8">
        <w:rPr>
          <w:rFonts w:ascii="Times New Roman" w:hAnsi="Times New Roman" w:cs="Times New Roman"/>
          <w:sz w:val="24"/>
          <w:szCs w:val="24"/>
        </w:rPr>
        <w:t>which is the newest developmenta</w:t>
      </w:r>
      <w:r w:rsidR="00A5319E">
        <w:rPr>
          <w:rFonts w:ascii="Times New Roman" w:hAnsi="Times New Roman" w:cs="Times New Roman"/>
          <w:sz w:val="24"/>
          <w:szCs w:val="24"/>
        </w:rPr>
        <w:t>l</w:t>
      </w:r>
      <w:r w:rsidR="00575FE8" w:rsidRPr="00575FE8">
        <w:rPr>
          <w:rFonts w:ascii="Times New Roman" w:hAnsi="Times New Roman" w:cs="Times New Roman"/>
          <w:sz w:val="24"/>
          <w:szCs w:val="24"/>
        </w:rPr>
        <w:t xml:space="preserve"> financial institution in Belarus. It is a specialized financial institution with main directions in the fields of </w:t>
      </w:r>
      <w:r w:rsidR="00A5319E">
        <w:rPr>
          <w:rFonts w:ascii="Times New Roman" w:hAnsi="Times New Roman" w:cs="Times New Roman"/>
          <w:sz w:val="24"/>
          <w:szCs w:val="24"/>
        </w:rPr>
        <w:t>development infrastructure</w:t>
      </w:r>
      <w:r w:rsidR="00575FE8" w:rsidRPr="00575FE8">
        <w:rPr>
          <w:rFonts w:ascii="Times New Roman" w:hAnsi="Times New Roman" w:cs="Times New Roman"/>
          <w:sz w:val="24"/>
          <w:szCs w:val="24"/>
        </w:rPr>
        <w:t xml:space="preserve">, providing expert support through financing of foreign companies and the support of SMEs. </w:t>
      </w:r>
      <w:r w:rsidR="00575FE8" w:rsidRPr="00A5319E">
        <w:rPr>
          <w:rFonts w:ascii="Times New Roman" w:hAnsi="Times New Roman" w:cs="Times New Roman"/>
          <w:sz w:val="24"/>
          <w:szCs w:val="24"/>
        </w:rPr>
        <w:t>The plans for 2016</w:t>
      </w:r>
      <w:r w:rsidR="00575FE8" w:rsidRPr="00575FE8">
        <w:rPr>
          <w:rFonts w:ascii="Times New Roman" w:hAnsi="Times New Roman" w:cs="Times New Roman"/>
          <w:sz w:val="24"/>
          <w:szCs w:val="24"/>
        </w:rPr>
        <w:t xml:space="preserve"> indicate that the Development Bank will become the single channel to finance projects under all Government programmes, including possible innovative investment projects. </w:t>
      </w:r>
      <w:r w:rsidR="00674F41">
        <w:rPr>
          <w:rFonts w:ascii="Times New Roman" w:hAnsi="Times New Roman" w:cs="Times New Roman"/>
          <w:sz w:val="24"/>
          <w:szCs w:val="24"/>
        </w:rPr>
        <w:t xml:space="preserve">With regard to </w:t>
      </w:r>
      <w:r w:rsidR="00575FE8" w:rsidRPr="00575FE8">
        <w:rPr>
          <w:rFonts w:ascii="Times New Roman" w:hAnsi="Times New Roman" w:cs="Times New Roman"/>
          <w:sz w:val="24"/>
          <w:szCs w:val="24"/>
        </w:rPr>
        <w:t>SME financing</w:t>
      </w:r>
      <w:r w:rsidR="00575FE8" w:rsidRPr="00575FE8">
        <w:rPr>
          <w:rFonts w:ascii="Times New Roman" w:hAnsi="Times New Roman" w:cs="Times New Roman"/>
          <w:sz w:val="24"/>
          <w:szCs w:val="24"/>
          <w:vertAlign w:val="superscript"/>
        </w:rPr>
        <w:footnoteReference w:id="8"/>
      </w:r>
      <w:r w:rsidR="00575FE8" w:rsidRPr="00575FE8">
        <w:rPr>
          <w:rFonts w:ascii="Times New Roman" w:hAnsi="Times New Roman" w:cs="Times New Roman"/>
          <w:sz w:val="24"/>
          <w:szCs w:val="24"/>
        </w:rPr>
        <w:t>, credit facilities are provided to 11 partner banks,</w:t>
      </w:r>
      <w:r w:rsidR="00674F41">
        <w:rPr>
          <w:rFonts w:ascii="Times New Roman" w:hAnsi="Times New Roman" w:cs="Times New Roman"/>
          <w:sz w:val="24"/>
          <w:szCs w:val="24"/>
        </w:rPr>
        <w:t xml:space="preserve"> which</w:t>
      </w:r>
      <w:r w:rsidR="00575FE8" w:rsidRPr="00575FE8">
        <w:rPr>
          <w:rFonts w:ascii="Times New Roman" w:hAnsi="Times New Roman" w:cs="Times New Roman"/>
          <w:sz w:val="24"/>
          <w:szCs w:val="24"/>
        </w:rPr>
        <w:t xml:space="preserve"> </w:t>
      </w:r>
      <w:r w:rsidR="00A5319E">
        <w:rPr>
          <w:rFonts w:ascii="Times New Roman" w:hAnsi="Times New Roman" w:cs="Times New Roman"/>
          <w:sz w:val="24"/>
          <w:szCs w:val="24"/>
        </w:rPr>
        <w:t>act as intermediaries to fund</w:t>
      </w:r>
      <w:r w:rsidR="00575FE8" w:rsidRPr="00575FE8">
        <w:rPr>
          <w:rFonts w:ascii="Times New Roman" w:hAnsi="Times New Roman" w:cs="Times New Roman"/>
          <w:sz w:val="24"/>
          <w:szCs w:val="24"/>
        </w:rPr>
        <w:t xml:space="preserve"> SMEs. Currently, a distinction between innovative and non-innovative products is not carried out. The financial products offered for SMEs are primarily geared towards modernization of production (or services) rather than on the generation of new products or services. In addition to the SME programme, a new product to support start-ups has been launched at the end of 2015 in the form of a loan or credit, typically for up to 5-7 years.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Concerning the </w:t>
      </w:r>
      <w:r w:rsidRPr="00575FE8">
        <w:rPr>
          <w:rFonts w:ascii="Times New Roman" w:hAnsi="Times New Roman" w:cs="Times New Roman"/>
          <w:i/>
          <w:sz w:val="24"/>
          <w:szCs w:val="24"/>
        </w:rPr>
        <w:t>Belarusian Innovation Fund</w:t>
      </w:r>
      <w:r w:rsidRPr="00575FE8">
        <w:rPr>
          <w:rFonts w:ascii="Times New Roman" w:hAnsi="Times New Roman" w:cs="Times New Roman"/>
          <w:sz w:val="24"/>
          <w:szCs w:val="24"/>
        </w:rPr>
        <w:t xml:space="preserve"> (BIF), which was already established in 1999, on the whole, the objectives of the fund have not fundamentally changed. They mainly relate to the financial support of innovative projects, financing R&amp;D and production in science- and technology based areas, assistance in the stimulation of foreign economic activity, attracting foreign investment, support of entrepreneurship and marketing oriented activities (e.g. exhibitions, fairs, seminars, conferences, etc</w:t>
      </w:r>
      <w:r w:rsidR="00FE59F3">
        <w:rPr>
          <w:rFonts w:ascii="Times New Roman" w:hAnsi="Times New Roman" w:cs="Times New Roman"/>
          <w:sz w:val="24"/>
          <w:szCs w:val="24"/>
        </w:rPr>
        <w:t>)</w:t>
      </w:r>
      <w:r w:rsidRPr="00575FE8">
        <w:rPr>
          <w:rFonts w:ascii="Times New Roman" w:hAnsi="Times New Roman" w:cs="Times New Roman"/>
          <w:sz w:val="24"/>
          <w:szCs w:val="24"/>
        </w:rPr>
        <w:t>. Recent developments relate to a set of new presidential decrees aimed at improving the BIF. On the basis of the legislative changes, the BIF is now able to finance the latest stages of the innovation process (</w:t>
      </w:r>
      <w:r w:rsidR="00674F41">
        <w:rPr>
          <w:rFonts w:ascii="Times New Roman" w:hAnsi="Times New Roman" w:cs="Times New Roman"/>
          <w:sz w:val="24"/>
          <w:szCs w:val="24"/>
        </w:rPr>
        <w:t xml:space="preserve">i.e. </w:t>
      </w:r>
      <w:r w:rsidRPr="00575FE8">
        <w:rPr>
          <w:rFonts w:ascii="Times New Roman" w:hAnsi="Times New Roman" w:cs="Times New Roman"/>
          <w:sz w:val="24"/>
          <w:szCs w:val="24"/>
        </w:rPr>
        <w:t>commercialization, market entry). Furthermore, new instrument</w:t>
      </w:r>
      <w:r w:rsidR="00674F41">
        <w:rPr>
          <w:rFonts w:ascii="Times New Roman" w:hAnsi="Times New Roman" w:cs="Times New Roman"/>
          <w:sz w:val="24"/>
          <w:szCs w:val="24"/>
        </w:rPr>
        <w:t>s are available</w:t>
      </w:r>
      <w:r w:rsidRPr="00575FE8">
        <w:rPr>
          <w:rFonts w:ascii="Times New Roman" w:hAnsi="Times New Roman" w:cs="Times New Roman"/>
          <w:sz w:val="24"/>
          <w:szCs w:val="24"/>
        </w:rPr>
        <w:t xml:space="preserve"> to support the initial innovation phase (</w:t>
      </w:r>
      <w:r w:rsidR="00674F41">
        <w:rPr>
          <w:rFonts w:ascii="Times New Roman" w:hAnsi="Times New Roman" w:cs="Times New Roman"/>
          <w:sz w:val="24"/>
          <w:szCs w:val="24"/>
        </w:rPr>
        <w:t xml:space="preserve">i.e. </w:t>
      </w:r>
      <w:r w:rsidRPr="00575FE8">
        <w:rPr>
          <w:rFonts w:ascii="Times New Roman" w:hAnsi="Times New Roman" w:cs="Times New Roman"/>
          <w:sz w:val="24"/>
          <w:szCs w:val="24"/>
        </w:rPr>
        <w:t xml:space="preserve">grants and vouchers).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62075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Since 2010, BIF provides funding</w:t>
      </w:r>
      <w:r w:rsidR="00674F41">
        <w:rPr>
          <w:rFonts w:ascii="Times New Roman" w:hAnsi="Times New Roman" w:cs="Times New Roman"/>
          <w:sz w:val="24"/>
          <w:szCs w:val="24"/>
        </w:rPr>
        <w:t xml:space="preserve"> to 16-24 projects a year with project</w:t>
      </w:r>
      <w:r w:rsidRPr="00575FE8">
        <w:rPr>
          <w:rFonts w:ascii="Times New Roman" w:hAnsi="Times New Roman" w:cs="Times New Roman"/>
          <w:sz w:val="24"/>
          <w:szCs w:val="24"/>
        </w:rPr>
        <w:t>s worth of 324,8 billion R</w:t>
      </w:r>
      <w:r w:rsidR="00DD24F4">
        <w:rPr>
          <w:rFonts w:ascii="Times New Roman" w:hAnsi="Times New Roman" w:cs="Times New Roman"/>
          <w:sz w:val="24"/>
          <w:szCs w:val="24"/>
        </w:rPr>
        <w:t>o</w:t>
      </w:r>
      <w:r w:rsidRPr="00575FE8">
        <w:rPr>
          <w:rFonts w:ascii="Times New Roman" w:hAnsi="Times New Roman" w:cs="Times New Roman"/>
          <w:sz w:val="24"/>
          <w:szCs w:val="24"/>
        </w:rPr>
        <w:t>ubles for the period 2010-2014. The highest volume was spent in 2012 with 114,6 billion R</w:t>
      </w:r>
      <w:r w:rsidR="00DD24F4">
        <w:rPr>
          <w:rFonts w:ascii="Times New Roman" w:hAnsi="Times New Roman" w:cs="Times New Roman"/>
          <w:sz w:val="24"/>
          <w:szCs w:val="24"/>
        </w:rPr>
        <w:t>o</w:t>
      </w:r>
      <w:r w:rsidRPr="00575FE8">
        <w:rPr>
          <w:rFonts w:ascii="Times New Roman" w:hAnsi="Times New Roman" w:cs="Times New Roman"/>
          <w:sz w:val="24"/>
          <w:szCs w:val="24"/>
        </w:rPr>
        <w:t>ubles. For the years 2016 and 2017 65,0 billion R</w:t>
      </w:r>
      <w:r w:rsidR="00DD24F4">
        <w:rPr>
          <w:rFonts w:ascii="Times New Roman" w:hAnsi="Times New Roman" w:cs="Times New Roman"/>
          <w:sz w:val="24"/>
          <w:szCs w:val="24"/>
        </w:rPr>
        <w:t>o</w:t>
      </w:r>
      <w:r w:rsidRPr="00575FE8">
        <w:rPr>
          <w:rFonts w:ascii="Times New Roman" w:hAnsi="Times New Roman" w:cs="Times New Roman"/>
          <w:sz w:val="24"/>
          <w:szCs w:val="24"/>
        </w:rPr>
        <w:t>ubles and 52,7 billion R</w:t>
      </w:r>
      <w:r w:rsidR="00DD24F4">
        <w:rPr>
          <w:rFonts w:ascii="Times New Roman" w:hAnsi="Times New Roman" w:cs="Times New Roman"/>
          <w:sz w:val="24"/>
          <w:szCs w:val="24"/>
        </w:rPr>
        <w:t>o</w:t>
      </w:r>
      <w:r w:rsidRPr="00575FE8">
        <w:rPr>
          <w:rFonts w:ascii="Times New Roman" w:hAnsi="Times New Roman" w:cs="Times New Roman"/>
          <w:sz w:val="24"/>
          <w:szCs w:val="24"/>
        </w:rPr>
        <w:t xml:space="preserve">ubles respectively are planned (according to the State Programme on Innovation Development </w:t>
      </w:r>
      <w:r w:rsidRPr="00575FE8">
        <w:rPr>
          <w:rFonts w:ascii="Times New Roman" w:hAnsi="Times New Roman" w:cs="Times New Roman"/>
          <w:sz w:val="24"/>
          <w:szCs w:val="24"/>
        </w:rPr>
        <w:lastRenderedPageBreak/>
        <w:t>2016-2020). The core technological field or industries</w:t>
      </w:r>
      <w:r w:rsidR="00620758">
        <w:rPr>
          <w:rFonts w:ascii="Times New Roman" w:hAnsi="Times New Roman" w:cs="Times New Roman"/>
          <w:sz w:val="24"/>
          <w:szCs w:val="24"/>
        </w:rPr>
        <w:t xml:space="preserve"> to be offered support are in the fields of </w:t>
      </w:r>
      <w:r w:rsidRPr="00575FE8">
        <w:rPr>
          <w:rFonts w:ascii="Times New Roman" w:hAnsi="Times New Roman" w:cs="Times New Roman"/>
          <w:sz w:val="24"/>
          <w:szCs w:val="24"/>
        </w:rPr>
        <w:t xml:space="preserve">pharmaceuticals, mechanical engineering, medical devices, agriculture and devices for research needs. </w:t>
      </w:r>
      <w:r w:rsidRPr="00620758">
        <w:rPr>
          <w:rFonts w:ascii="Times New Roman" w:hAnsi="Times New Roman" w:cs="Times New Roman"/>
          <w:sz w:val="24"/>
          <w:szCs w:val="24"/>
        </w:rPr>
        <w:t>Regarding the selection criteria of the fund, the following</w:t>
      </w:r>
      <w:r w:rsidR="00620758" w:rsidRPr="00620758">
        <w:rPr>
          <w:rFonts w:ascii="Times New Roman" w:hAnsi="Times New Roman" w:cs="Times New Roman"/>
          <w:sz w:val="24"/>
          <w:szCs w:val="24"/>
        </w:rPr>
        <w:t xml:space="preserve"> criteria are given priority</w:t>
      </w:r>
      <w:r w:rsidRPr="00620758">
        <w:rPr>
          <w:rFonts w:ascii="Times New Roman" w:hAnsi="Times New Roman" w:cs="Times New Roman"/>
          <w:sz w:val="24"/>
          <w:szCs w:val="24"/>
        </w:rPr>
        <w:t>:</w:t>
      </w:r>
      <w:r w:rsidR="00620758" w:rsidRPr="00620758">
        <w:rPr>
          <w:rFonts w:ascii="Times New Roman" w:hAnsi="Times New Roman" w:cs="Times New Roman"/>
          <w:sz w:val="24"/>
          <w:szCs w:val="24"/>
        </w:rPr>
        <w:t xml:space="preserve"> projects with a</w:t>
      </w:r>
      <w:r w:rsidR="00620758">
        <w:rPr>
          <w:rFonts w:ascii="Times New Roman" w:hAnsi="Times New Roman" w:cs="Times New Roman"/>
          <w:sz w:val="24"/>
          <w:szCs w:val="24"/>
        </w:rPr>
        <w:t xml:space="preserve"> focus on </w:t>
      </w:r>
      <w:r w:rsidRPr="00575FE8">
        <w:rPr>
          <w:rFonts w:ascii="Times New Roman" w:hAnsi="Times New Roman" w:cs="Times New Roman"/>
          <w:sz w:val="24"/>
          <w:szCs w:val="24"/>
        </w:rPr>
        <w:t>energy efficiency;</w:t>
      </w:r>
      <w:r w:rsidR="00620758">
        <w:rPr>
          <w:rFonts w:ascii="Times New Roman" w:hAnsi="Times New Roman" w:cs="Times New Roman"/>
          <w:sz w:val="24"/>
          <w:szCs w:val="24"/>
        </w:rPr>
        <w:t xml:space="preserve"> t</w:t>
      </w:r>
      <w:r w:rsidRPr="00575FE8">
        <w:rPr>
          <w:rFonts w:ascii="Times New Roman" w:hAnsi="Times New Roman" w:cs="Times New Roman"/>
          <w:sz w:val="24"/>
          <w:szCs w:val="24"/>
        </w:rPr>
        <w:t>echnology focus; job</w:t>
      </w:r>
      <w:r w:rsidR="00620758">
        <w:rPr>
          <w:rFonts w:ascii="Times New Roman" w:hAnsi="Times New Roman" w:cs="Times New Roman"/>
          <w:sz w:val="24"/>
          <w:szCs w:val="24"/>
        </w:rPr>
        <w:t xml:space="preserve"> creation</w:t>
      </w:r>
      <w:r w:rsidRPr="00575FE8">
        <w:rPr>
          <w:rFonts w:ascii="Times New Roman" w:hAnsi="Times New Roman" w:cs="Times New Roman"/>
          <w:sz w:val="24"/>
          <w:szCs w:val="24"/>
        </w:rPr>
        <w:t xml:space="preserve"> for highly qualified specialists;</w:t>
      </w:r>
      <w:r w:rsidR="00620758">
        <w:rPr>
          <w:rFonts w:ascii="Times New Roman" w:hAnsi="Times New Roman" w:cs="Times New Roman"/>
          <w:sz w:val="24"/>
          <w:szCs w:val="24"/>
        </w:rPr>
        <w:t xml:space="preserve"> </w:t>
      </w:r>
      <w:r w:rsidRPr="00575FE8">
        <w:rPr>
          <w:rFonts w:ascii="Times New Roman" w:hAnsi="Times New Roman" w:cs="Times New Roman"/>
          <w:sz w:val="24"/>
          <w:szCs w:val="24"/>
        </w:rPr>
        <w:t>increase of labour efficiency per person;</w:t>
      </w:r>
      <w:r w:rsidR="00620758">
        <w:rPr>
          <w:rFonts w:ascii="Times New Roman" w:hAnsi="Times New Roman" w:cs="Times New Roman"/>
          <w:sz w:val="24"/>
          <w:szCs w:val="24"/>
        </w:rPr>
        <w:t xml:space="preserve"> and </w:t>
      </w:r>
      <w:r w:rsidRPr="00575FE8">
        <w:rPr>
          <w:rFonts w:ascii="Times New Roman" w:hAnsi="Times New Roman" w:cs="Times New Roman"/>
          <w:sz w:val="24"/>
          <w:szCs w:val="24"/>
        </w:rPr>
        <w:t xml:space="preserve">export orientation. </w:t>
      </w: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     </w:t>
      </w: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The new regulation on public grants funding in the form of </w:t>
      </w:r>
      <w:r w:rsidRPr="00575FE8">
        <w:rPr>
          <w:rFonts w:ascii="Times New Roman" w:hAnsi="Times New Roman" w:cs="Times New Roman"/>
          <w:i/>
          <w:sz w:val="24"/>
          <w:szCs w:val="24"/>
        </w:rPr>
        <w:t xml:space="preserve">vouchers and grants, </w:t>
      </w:r>
      <w:r w:rsidRPr="00575FE8">
        <w:rPr>
          <w:rFonts w:ascii="Times New Roman" w:hAnsi="Times New Roman" w:cs="Times New Roman"/>
          <w:sz w:val="24"/>
          <w:szCs w:val="24"/>
        </w:rPr>
        <w:t>which are distributed by BIF as well, pursues the objective to support early stage innovation projects. Applicants for these schemes are typically individuals who have an agreement with a Techno</w:t>
      </w:r>
      <w:r w:rsidR="00DD24F4">
        <w:rPr>
          <w:rFonts w:ascii="Times New Roman" w:hAnsi="Times New Roman" w:cs="Times New Roman"/>
          <w:sz w:val="24"/>
          <w:szCs w:val="24"/>
        </w:rPr>
        <w:t>-</w:t>
      </w:r>
      <w:r w:rsidRPr="00575FE8">
        <w:rPr>
          <w:rFonts w:ascii="Times New Roman" w:hAnsi="Times New Roman" w:cs="Times New Roman"/>
          <w:sz w:val="24"/>
          <w:szCs w:val="24"/>
        </w:rPr>
        <w:t xml:space="preserve">park (or an incubator) and who have elaborated a business plan to be evaluated in the course of the application procedure. Grants are also distributed among SMEs but only for the design phase (not for the R&amp;D phase).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Both vouchers and grants are awarded</w:t>
      </w:r>
      <w:r w:rsidR="00620758">
        <w:rPr>
          <w:rFonts w:ascii="Times New Roman" w:hAnsi="Times New Roman" w:cs="Times New Roman"/>
          <w:sz w:val="24"/>
          <w:szCs w:val="24"/>
        </w:rPr>
        <w:t xml:space="preserve"> </w:t>
      </w:r>
      <w:r w:rsidRPr="00575FE8">
        <w:rPr>
          <w:rFonts w:ascii="Times New Roman" w:hAnsi="Times New Roman" w:cs="Times New Roman"/>
          <w:sz w:val="24"/>
          <w:szCs w:val="24"/>
        </w:rPr>
        <w:t xml:space="preserve">on a non-repayable basis. Vouchers are available for two stages: for the preparatory stage, </w:t>
      </w:r>
      <w:r w:rsidR="00DD24F4">
        <w:rPr>
          <w:rFonts w:ascii="Times New Roman" w:hAnsi="Times New Roman" w:cs="Times New Roman"/>
          <w:sz w:val="24"/>
          <w:szCs w:val="24"/>
        </w:rPr>
        <w:t xml:space="preserve">up to </w:t>
      </w:r>
      <w:r w:rsidRPr="00575FE8">
        <w:rPr>
          <w:rFonts w:ascii="Times New Roman" w:hAnsi="Times New Roman" w:cs="Times New Roman"/>
          <w:sz w:val="24"/>
          <w:szCs w:val="24"/>
        </w:rPr>
        <w:t>25.000 USD mainly for the development of the business plan, patenting and market research. For the second stage</w:t>
      </w:r>
      <w:r w:rsidR="00DD24F4">
        <w:rPr>
          <w:rFonts w:ascii="Times New Roman" w:hAnsi="Times New Roman" w:cs="Times New Roman"/>
          <w:sz w:val="24"/>
          <w:szCs w:val="24"/>
        </w:rPr>
        <w:t>, up to</w:t>
      </w:r>
      <w:r w:rsidRPr="00575FE8">
        <w:rPr>
          <w:rFonts w:ascii="Times New Roman" w:hAnsi="Times New Roman" w:cs="Times New Roman"/>
          <w:sz w:val="24"/>
          <w:szCs w:val="24"/>
        </w:rPr>
        <w:t xml:space="preserve"> 100.000 USD for creating pilot projects or product samples. Within the last year (2015) there have been 7 applications for grants,</w:t>
      </w:r>
      <w:r w:rsidR="00DD24F4">
        <w:rPr>
          <w:rFonts w:ascii="Times New Roman" w:hAnsi="Times New Roman" w:cs="Times New Roman"/>
          <w:sz w:val="24"/>
          <w:szCs w:val="24"/>
        </w:rPr>
        <w:t xml:space="preserve"> but</w:t>
      </w:r>
      <w:r w:rsidRPr="00575FE8">
        <w:rPr>
          <w:rFonts w:ascii="Times New Roman" w:hAnsi="Times New Roman" w:cs="Times New Roman"/>
          <w:sz w:val="24"/>
          <w:szCs w:val="24"/>
        </w:rPr>
        <w:t xml:space="preserve"> the interest for vouchers meanwhile is much lower. Despite a very sophisticated selection process at the BIF, </w:t>
      </w:r>
      <w:r w:rsidRPr="00DD24F4">
        <w:rPr>
          <w:rFonts w:ascii="Times New Roman" w:hAnsi="Times New Roman" w:cs="Times New Roman"/>
          <w:sz w:val="24"/>
          <w:szCs w:val="24"/>
        </w:rPr>
        <w:t xml:space="preserve">due to </w:t>
      </w:r>
      <w:r w:rsidR="00DD24F4" w:rsidRPr="00DD24F4">
        <w:rPr>
          <w:rFonts w:ascii="Times New Roman" w:hAnsi="Times New Roman" w:cs="Times New Roman"/>
          <w:sz w:val="24"/>
          <w:szCs w:val="24"/>
        </w:rPr>
        <w:t>insufficient human</w:t>
      </w:r>
      <w:r w:rsidRPr="00DD24F4">
        <w:rPr>
          <w:rFonts w:ascii="Times New Roman" w:hAnsi="Times New Roman" w:cs="Times New Roman"/>
          <w:sz w:val="24"/>
          <w:szCs w:val="24"/>
        </w:rPr>
        <w:t xml:space="preserve"> resources, almost</w:t>
      </w:r>
      <w:r w:rsidRPr="00575FE8">
        <w:rPr>
          <w:rFonts w:ascii="Times New Roman" w:hAnsi="Times New Roman" w:cs="Times New Roman"/>
          <w:sz w:val="24"/>
          <w:szCs w:val="24"/>
        </w:rPr>
        <w:t xml:space="preserve"> no actual disbursement has been conducted. </w:t>
      </w:r>
    </w:p>
    <w:p w:rsidR="00575FE8" w:rsidRPr="00575FE8" w:rsidRDefault="00575FE8" w:rsidP="00575FE8">
      <w:pPr>
        <w:spacing w:after="0" w:line="240" w:lineRule="auto"/>
        <w:jc w:val="both"/>
        <w:rPr>
          <w:rFonts w:ascii="Times New Roman" w:hAnsi="Times New Roman" w:cs="Times New Roman"/>
          <w:sz w:val="24"/>
          <w:szCs w:val="24"/>
        </w:rPr>
      </w:pPr>
    </w:p>
    <w:p w:rsidR="00DD24F4"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Further recent developments at BIF refer to the establishment or intensification of cooperation activities with different (foreign) organisations, </w:t>
      </w:r>
      <w:r w:rsidR="00DD24F4">
        <w:rPr>
          <w:rFonts w:ascii="Times New Roman" w:hAnsi="Times New Roman" w:cs="Times New Roman"/>
          <w:sz w:val="24"/>
          <w:szCs w:val="24"/>
        </w:rPr>
        <w:t xml:space="preserve">agreements are in place with institutions based in </w:t>
      </w:r>
      <w:r w:rsidRPr="00575FE8">
        <w:rPr>
          <w:rFonts w:ascii="Times New Roman" w:hAnsi="Times New Roman" w:cs="Times New Roman"/>
          <w:sz w:val="24"/>
          <w:szCs w:val="24"/>
        </w:rPr>
        <w:t>China, Israel</w:t>
      </w:r>
      <w:r w:rsidR="00DD24F4">
        <w:rPr>
          <w:rFonts w:ascii="Times New Roman" w:hAnsi="Times New Roman" w:cs="Times New Roman"/>
          <w:sz w:val="24"/>
          <w:szCs w:val="24"/>
        </w:rPr>
        <w:t xml:space="preserve"> and</w:t>
      </w:r>
      <w:r w:rsidRPr="00575FE8">
        <w:rPr>
          <w:rFonts w:ascii="Times New Roman" w:hAnsi="Times New Roman" w:cs="Times New Roman"/>
          <w:sz w:val="24"/>
          <w:szCs w:val="24"/>
        </w:rPr>
        <w:t xml:space="preserve"> various EU countri</w:t>
      </w:r>
      <w:r w:rsidR="00DD24F4">
        <w:rPr>
          <w:rFonts w:ascii="Times New Roman" w:hAnsi="Times New Roman" w:cs="Times New Roman"/>
          <w:sz w:val="24"/>
          <w:szCs w:val="24"/>
        </w:rPr>
        <w:t xml:space="preserve">es, but first and foremost in </w:t>
      </w:r>
      <w:r w:rsidRPr="00575FE8">
        <w:rPr>
          <w:rFonts w:ascii="Times New Roman" w:hAnsi="Times New Roman" w:cs="Times New Roman"/>
          <w:sz w:val="24"/>
          <w:szCs w:val="24"/>
        </w:rPr>
        <w:t>the former Soviet Union (Russia</w:t>
      </w:r>
      <w:r w:rsidR="00DD24F4">
        <w:rPr>
          <w:rFonts w:ascii="Times New Roman" w:hAnsi="Times New Roman" w:cs="Times New Roman"/>
          <w:sz w:val="24"/>
          <w:szCs w:val="24"/>
        </w:rPr>
        <w:t>n Federation and</w:t>
      </w:r>
      <w:r w:rsidRPr="00575FE8">
        <w:rPr>
          <w:rFonts w:ascii="Times New Roman" w:hAnsi="Times New Roman" w:cs="Times New Roman"/>
          <w:sz w:val="24"/>
          <w:szCs w:val="24"/>
        </w:rPr>
        <w:t xml:space="preserve"> Kazakhstan).</w:t>
      </w:r>
    </w:p>
    <w:p w:rsidR="00DD24F4" w:rsidRDefault="00DD24F4" w:rsidP="00575FE8">
      <w:pPr>
        <w:spacing w:after="0" w:line="240" w:lineRule="auto"/>
        <w:jc w:val="both"/>
        <w:rPr>
          <w:rFonts w:ascii="Times New Roman" w:hAnsi="Times New Roman" w:cs="Times New Roman"/>
          <w:sz w:val="24"/>
          <w:szCs w:val="24"/>
        </w:rPr>
      </w:pPr>
    </w:p>
    <w:p w:rsidR="00575FE8" w:rsidRPr="00575FE8" w:rsidRDefault="00DD24F4" w:rsidP="0057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w:t>
      </w:r>
      <w:r w:rsidR="00575FE8" w:rsidRPr="00575FE8">
        <w:rPr>
          <w:rFonts w:ascii="Times New Roman" w:hAnsi="Times New Roman" w:cs="Times New Roman"/>
          <w:sz w:val="24"/>
          <w:szCs w:val="24"/>
        </w:rPr>
        <w:t xml:space="preserve">irst steps in establishing venture capital companies have been taken in cooperation with Russia and Kazakhstan. The </w:t>
      </w:r>
      <w:r w:rsidR="00575FE8" w:rsidRPr="00575FE8">
        <w:rPr>
          <w:rFonts w:ascii="Times New Roman" w:hAnsi="Times New Roman" w:cs="Times New Roman"/>
          <w:i/>
          <w:sz w:val="24"/>
          <w:szCs w:val="24"/>
        </w:rPr>
        <w:t>Russian-Belarusian Fund for Venture Investment</w:t>
      </w:r>
      <w:r w:rsidR="00575FE8" w:rsidRPr="00575FE8">
        <w:rPr>
          <w:rFonts w:ascii="Times New Roman" w:hAnsi="Times New Roman" w:cs="Times New Roman"/>
          <w:sz w:val="24"/>
          <w:szCs w:val="24"/>
        </w:rPr>
        <w:t xml:space="preserve"> has been set-up on the basis of a long-term programme supported by both countries. The fund acts as a venture company in both countries with a common budget (financed by Belarus (one third) and Russia (two thirds)). Another venture investment company is in its initial stage, a trilateral company with </w:t>
      </w:r>
      <w:r w:rsidR="00575FE8" w:rsidRPr="00575FE8">
        <w:rPr>
          <w:rFonts w:ascii="Times New Roman" w:hAnsi="Times New Roman" w:cs="Times New Roman"/>
          <w:i/>
          <w:sz w:val="24"/>
          <w:szCs w:val="24"/>
        </w:rPr>
        <w:t>Russia, Kazakhstan and Belarus</w:t>
      </w:r>
      <w:r w:rsidR="00575FE8" w:rsidRPr="00575FE8">
        <w:rPr>
          <w:rFonts w:ascii="Times New Roman" w:hAnsi="Times New Roman" w:cs="Times New Roman"/>
          <w:sz w:val="24"/>
          <w:szCs w:val="24"/>
        </w:rPr>
        <w:t xml:space="preserve">. </w:t>
      </w:r>
      <w:r>
        <w:rPr>
          <w:rFonts w:ascii="Times New Roman" w:hAnsi="Times New Roman" w:cs="Times New Roman"/>
          <w:sz w:val="24"/>
          <w:szCs w:val="24"/>
        </w:rPr>
        <w:t>However, a</w:t>
      </w:r>
      <w:r w:rsidR="00575FE8" w:rsidRPr="00575FE8">
        <w:rPr>
          <w:rFonts w:ascii="Times New Roman" w:hAnsi="Times New Roman" w:cs="Times New Roman"/>
          <w:sz w:val="24"/>
          <w:szCs w:val="24"/>
        </w:rPr>
        <w:t>t the time of writing,</w:t>
      </w:r>
      <w:r>
        <w:rPr>
          <w:rFonts w:ascii="Times New Roman" w:hAnsi="Times New Roman" w:cs="Times New Roman"/>
          <w:sz w:val="24"/>
          <w:szCs w:val="24"/>
        </w:rPr>
        <w:t xml:space="preserve"> no activities had been undertaken.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In addition to BIF, the Republican Innovation Funds (or sectoral innovation funds) constitutes an integrated scheme with the R&amp;D funding system of Belarus. In 2015, the Innovation Funds consisted of 25 single funds, which are accumulated by different ministries, state-owned companies and the National Academy of </w:t>
      </w:r>
      <w:r w:rsidR="005E2664" w:rsidRPr="00575FE8">
        <w:rPr>
          <w:rFonts w:ascii="Times New Roman" w:hAnsi="Times New Roman" w:cs="Times New Roman"/>
          <w:sz w:val="24"/>
          <w:szCs w:val="24"/>
        </w:rPr>
        <w:t xml:space="preserve">Science. </w:t>
      </w:r>
      <w:r w:rsidRPr="00575FE8">
        <w:rPr>
          <w:rFonts w:ascii="Times New Roman" w:hAnsi="Times New Roman" w:cs="Times New Roman"/>
          <w:sz w:val="24"/>
          <w:szCs w:val="24"/>
        </w:rPr>
        <w:t>In addition to these 25 funds, another 7 funds are operating as regional or local funds (in Minsk and the 6 provinces). The sectoral ministries use their own established funds to finance innovation in key economic sectors, such as construction, industry</w:t>
      </w:r>
      <w:r w:rsidR="00894BD9">
        <w:rPr>
          <w:rFonts w:ascii="Times New Roman" w:hAnsi="Times New Roman" w:cs="Times New Roman"/>
          <w:sz w:val="24"/>
          <w:szCs w:val="24"/>
        </w:rPr>
        <w:t xml:space="preserve"> and</w:t>
      </w:r>
      <w:r w:rsidRPr="00575FE8">
        <w:rPr>
          <w:rFonts w:ascii="Times New Roman" w:hAnsi="Times New Roman" w:cs="Times New Roman"/>
          <w:sz w:val="24"/>
          <w:szCs w:val="24"/>
        </w:rPr>
        <w:t xml:space="preserve"> housing. Firms have to apply for these funds in a competitive process. According to the UNESCO Science Report, the most successful of these funds is th</w:t>
      </w:r>
      <w:r w:rsidR="002F1590">
        <w:rPr>
          <w:rFonts w:ascii="Times New Roman" w:hAnsi="Times New Roman" w:cs="Times New Roman"/>
          <w:sz w:val="24"/>
          <w:szCs w:val="24"/>
        </w:rPr>
        <w:t>e one</w:t>
      </w:r>
      <w:r w:rsidRPr="00575FE8">
        <w:rPr>
          <w:rFonts w:ascii="Times New Roman" w:hAnsi="Times New Roman" w:cs="Times New Roman"/>
          <w:sz w:val="24"/>
          <w:szCs w:val="24"/>
        </w:rPr>
        <w:t xml:space="preserve"> targeting ICT companies (</w:t>
      </w:r>
      <w:r w:rsidR="002F1590">
        <w:rPr>
          <w:rFonts w:ascii="Times New Roman" w:hAnsi="Times New Roman" w:cs="Times New Roman"/>
          <w:sz w:val="24"/>
          <w:szCs w:val="24"/>
        </w:rPr>
        <w:t>ran by</w:t>
      </w:r>
      <w:r w:rsidRPr="00575FE8">
        <w:rPr>
          <w:rFonts w:ascii="Times New Roman" w:hAnsi="Times New Roman" w:cs="Times New Roman"/>
          <w:sz w:val="24"/>
          <w:szCs w:val="24"/>
        </w:rPr>
        <w:t xml:space="preserve"> two ministries</w:t>
      </w:r>
      <w:r w:rsidR="002F1590">
        <w:rPr>
          <w:rFonts w:ascii="Times New Roman" w:hAnsi="Times New Roman" w:cs="Times New Roman"/>
          <w:sz w:val="24"/>
          <w:szCs w:val="24"/>
        </w:rPr>
        <w:t>:</w:t>
      </w:r>
      <w:r w:rsidRPr="00575FE8">
        <w:rPr>
          <w:rFonts w:ascii="Times New Roman" w:hAnsi="Times New Roman" w:cs="Times New Roman"/>
          <w:sz w:val="24"/>
          <w:szCs w:val="24"/>
        </w:rPr>
        <w:t xml:space="preserve"> the Ministry of Communications and the Ministry of Information)</w:t>
      </w:r>
      <w:r w:rsidR="002F1590">
        <w:rPr>
          <w:rFonts w:ascii="Times New Roman" w:hAnsi="Times New Roman" w:cs="Times New Roman"/>
          <w:sz w:val="24"/>
          <w:szCs w:val="24"/>
        </w:rPr>
        <w:t>, which</w:t>
      </w:r>
      <w:r w:rsidRPr="00575FE8">
        <w:rPr>
          <w:rFonts w:ascii="Times New Roman" w:hAnsi="Times New Roman" w:cs="Times New Roman"/>
          <w:sz w:val="24"/>
          <w:szCs w:val="24"/>
        </w:rPr>
        <w:t xml:space="preserve"> account</w:t>
      </w:r>
      <w:r w:rsidR="002F1590">
        <w:rPr>
          <w:rFonts w:ascii="Times New Roman" w:hAnsi="Times New Roman" w:cs="Times New Roman"/>
          <w:sz w:val="24"/>
          <w:szCs w:val="24"/>
        </w:rPr>
        <w:t>s</w:t>
      </w:r>
      <w:r w:rsidRPr="00575FE8">
        <w:rPr>
          <w:rFonts w:ascii="Times New Roman" w:hAnsi="Times New Roman" w:cs="Times New Roman"/>
          <w:sz w:val="24"/>
          <w:szCs w:val="24"/>
        </w:rPr>
        <w:t xml:space="preserve"> for 12</w:t>
      </w:r>
      <w:r w:rsidR="007300BB">
        <w:rPr>
          <w:rFonts w:ascii="Times New Roman" w:hAnsi="Times New Roman" w:cs="Times New Roman"/>
          <w:sz w:val="24"/>
          <w:szCs w:val="24"/>
        </w:rPr>
        <w:t xml:space="preserve"> per cent</w:t>
      </w:r>
      <w:r w:rsidRPr="00575FE8">
        <w:rPr>
          <w:rFonts w:ascii="Times New Roman" w:hAnsi="Times New Roman" w:cs="Times New Roman"/>
          <w:sz w:val="24"/>
          <w:szCs w:val="24"/>
        </w:rPr>
        <w:t xml:space="preserve"> of the total expenditure of all 25 funds.</w:t>
      </w: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 </w:t>
      </w: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Among these 25 funds, 15 ministries have their own funds. Among them, three ministries account for the bulk of expenditure (state): the Ministry of Transport (24</w:t>
      </w:r>
      <w:r w:rsidR="002F1590">
        <w:rPr>
          <w:rFonts w:ascii="Times New Roman" w:hAnsi="Times New Roman" w:cs="Times New Roman"/>
          <w:sz w:val="24"/>
          <w:szCs w:val="24"/>
        </w:rPr>
        <w:t xml:space="preserve"> per cent</w:t>
      </w:r>
      <w:r w:rsidRPr="00575FE8">
        <w:rPr>
          <w:rFonts w:ascii="Times New Roman" w:hAnsi="Times New Roman" w:cs="Times New Roman"/>
          <w:sz w:val="24"/>
          <w:szCs w:val="24"/>
        </w:rPr>
        <w:t>), the Ministry of Architecture (16</w:t>
      </w:r>
      <w:r w:rsidR="002F1590" w:rsidRPr="002F1590">
        <w:t xml:space="preserve"> </w:t>
      </w:r>
      <w:r w:rsidR="002F1590" w:rsidRPr="002F1590">
        <w:rPr>
          <w:rFonts w:ascii="Times New Roman" w:hAnsi="Times New Roman" w:cs="Times New Roman"/>
          <w:sz w:val="24"/>
          <w:szCs w:val="24"/>
        </w:rPr>
        <w:t>per cent</w:t>
      </w:r>
      <w:r w:rsidRPr="00575FE8">
        <w:rPr>
          <w:rFonts w:ascii="Times New Roman" w:hAnsi="Times New Roman" w:cs="Times New Roman"/>
          <w:sz w:val="24"/>
          <w:szCs w:val="24"/>
        </w:rPr>
        <w:t>) and the Ministry of Industry (7</w:t>
      </w:r>
      <w:r w:rsidR="002F1590" w:rsidRPr="002F1590">
        <w:t xml:space="preserve"> </w:t>
      </w:r>
      <w:r w:rsidR="002F1590" w:rsidRPr="002F1590">
        <w:rPr>
          <w:rFonts w:ascii="Times New Roman" w:hAnsi="Times New Roman" w:cs="Times New Roman"/>
          <w:sz w:val="24"/>
          <w:szCs w:val="24"/>
        </w:rPr>
        <w:t>per cent</w:t>
      </w:r>
      <w:r w:rsidRPr="00575FE8">
        <w:rPr>
          <w:rFonts w:ascii="Times New Roman" w:hAnsi="Times New Roman" w:cs="Times New Roman"/>
          <w:sz w:val="24"/>
          <w:szCs w:val="24"/>
        </w:rPr>
        <w:t>). Among the concerns, the Belneftekhim concern with 13</w:t>
      </w:r>
      <w:r w:rsidR="007300BB">
        <w:rPr>
          <w:rFonts w:ascii="Times New Roman" w:hAnsi="Times New Roman" w:cs="Times New Roman"/>
          <w:sz w:val="24"/>
          <w:szCs w:val="24"/>
        </w:rPr>
        <w:t xml:space="preserve"> per cent</w:t>
      </w:r>
      <w:r w:rsidRPr="00575FE8">
        <w:rPr>
          <w:rFonts w:ascii="Times New Roman" w:hAnsi="Times New Roman" w:cs="Times New Roman"/>
          <w:sz w:val="24"/>
          <w:szCs w:val="24"/>
        </w:rPr>
        <w:t xml:space="preserve"> accounts for the largest share.  </w:t>
      </w:r>
    </w:p>
    <w:p w:rsidR="00575FE8" w:rsidRPr="00575FE8" w:rsidRDefault="00575FE8" w:rsidP="00575FE8">
      <w:pPr>
        <w:spacing w:after="0" w:line="240" w:lineRule="auto"/>
        <w:jc w:val="both"/>
        <w:rPr>
          <w:rFonts w:ascii="Times New Roman" w:hAnsi="Times New Roman" w:cs="Times New Roman"/>
          <w:b/>
          <w:i/>
          <w:sz w:val="24"/>
          <w:szCs w:val="24"/>
        </w:rPr>
      </w:pPr>
      <w:r w:rsidRPr="00575FE8">
        <w:rPr>
          <w:rFonts w:ascii="Times New Roman" w:hAnsi="Times New Roman" w:cs="Times New Roman"/>
          <w:b/>
          <w:i/>
          <w:sz w:val="24"/>
          <w:szCs w:val="24"/>
        </w:rPr>
        <w:lastRenderedPageBreak/>
        <w:t xml:space="preserve">   </w:t>
      </w:r>
    </w:p>
    <w:p w:rsidR="00575FE8" w:rsidRPr="00575FE8" w:rsidRDefault="00351F35" w:rsidP="00575F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expected that the</w:t>
      </w:r>
      <w:r w:rsidR="00575FE8" w:rsidRPr="00575FE8">
        <w:rPr>
          <w:rFonts w:ascii="Times New Roman" w:hAnsi="Times New Roman" w:cs="Times New Roman"/>
          <w:sz w:val="24"/>
          <w:szCs w:val="24"/>
        </w:rPr>
        <w:t xml:space="preserve"> new </w:t>
      </w:r>
      <w:r w:rsidR="00575FE8" w:rsidRPr="00575FE8">
        <w:rPr>
          <w:rFonts w:ascii="Times New Roman" w:hAnsi="Times New Roman" w:cs="Times New Roman"/>
          <w:i/>
          <w:sz w:val="24"/>
          <w:szCs w:val="24"/>
        </w:rPr>
        <w:t>centralized innovation fund</w:t>
      </w:r>
      <w:r w:rsidR="00575FE8" w:rsidRPr="00575FE8">
        <w:rPr>
          <w:rFonts w:ascii="Times New Roman" w:hAnsi="Times New Roman" w:cs="Times New Roman"/>
          <w:sz w:val="24"/>
          <w:szCs w:val="24"/>
        </w:rPr>
        <w:t xml:space="preserve"> </w:t>
      </w:r>
      <w:r>
        <w:rPr>
          <w:rFonts w:ascii="Times New Roman" w:hAnsi="Times New Roman" w:cs="Times New Roman"/>
          <w:sz w:val="24"/>
          <w:szCs w:val="24"/>
        </w:rPr>
        <w:t>will help better</w:t>
      </w:r>
      <w:r w:rsidR="00575FE8" w:rsidRPr="00575FE8">
        <w:rPr>
          <w:rFonts w:ascii="Times New Roman" w:hAnsi="Times New Roman" w:cs="Times New Roman"/>
          <w:sz w:val="24"/>
          <w:szCs w:val="24"/>
        </w:rPr>
        <w:t xml:space="preserve"> mobilize, select and finance innovative projects and to better align innovation funding to national priorities. The fund will be implemented and managed by the State Committee on Science and Technology and has its own budget line in the current State Programme for Innovative Development 2016-2020.</w:t>
      </w:r>
      <w:r>
        <w:rPr>
          <w:rFonts w:ascii="Times New Roman" w:hAnsi="Times New Roman" w:cs="Times New Roman"/>
          <w:sz w:val="24"/>
          <w:szCs w:val="24"/>
        </w:rPr>
        <w:t>T</w:t>
      </w:r>
      <w:r w:rsidR="00575FE8" w:rsidRPr="00575FE8">
        <w:rPr>
          <w:rFonts w:ascii="Times New Roman" w:hAnsi="Times New Roman" w:cs="Times New Roman"/>
          <w:sz w:val="24"/>
          <w:szCs w:val="24"/>
        </w:rPr>
        <w:t>he Fund will have a financial volume of 743,5 billion Rubles for the period 2016-2020</w:t>
      </w:r>
      <w:r w:rsidR="00575FE8" w:rsidRPr="00575FE8">
        <w:rPr>
          <w:rFonts w:ascii="Times New Roman" w:hAnsi="Times New Roman" w:cs="Times New Roman"/>
          <w:sz w:val="24"/>
          <w:szCs w:val="24"/>
          <w:vertAlign w:val="superscript"/>
        </w:rPr>
        <w:footnoteReference w:id="9"/>
      </w:r>
      <w:r w:rsidR="00575FE8" w:rsidRPr="00575FE8">
        <w:rPr>
          <w:rFonts w:ascii="Times New Roman" w:hAnsi="Times New Roman" w:cs="Times New Roman"/>
          <w:sz w:val="24"/>
          <w:szCs w:val="24"/>
        </w:rPr>
        <w:t>.  The</w:t>
      </w:r>
      <w:r w:rsidR="00034562">
        <w:rPr>
          <w:rFonts w:ascii="Times New Roman" w:hAnsi="Times New Roman" w:cs="Times New Roman"/>
          <w:sz w:val="24"/>
          <w:szCs w:val="24"/>
        </w:rPr>
        <w:t xml:space="preserve"> centralized</w:t>
      </w:r>
      <w:r w:rsidR="00575FE8" w:rsidRPr="00575FE8">
        <w:rPr>
          <w:rFonts w:ascii="Times New Roman" w:hAnsi="Times New Roman" w:cs="Times New Roman"/>
          <w:sz w:val="24"/>
          <w:szCs w:val="24"/>
        </w:rPr>
        <w:t xml:space="preserve"> fund </w:t>
      </w:r>
      <w:r w:rsidR="00034562">
        <w:rPr>
          <w:rFonts w:ascii="Times New Roman" w:hAnsi="Times New Roman" w:cs="Times New Roman"/>
          <w:sz w:val="24"/>
          <w:szCs w:val="24"/>
        </w:rPr>
        <w:t>will have</w:t>
      </w:r>
      <w:r w:rsidR="00575FE8" w:rsidRPr="00575FE8">
        <w:rPr>
          <w:rFonts w:ascii="Times New Roman" w:hAnsi="Times New Roman" w:cs="Times New Roman"/>
          <w:sz w:val="24"/>
          <w:szCs w:val="24"/>
        </w:rPr>
        <w:t xml:space="preserve"> four operating areas:</w:t>
      </w:r>
      <w:r w:rsidR="00034562">
        <w:rPr>
          <w:rFonts w:ascii="Times New Roman" w:hAnsi="Times New Roman" w:cs="Times New Roman"/>
          <w:sz w:val="24"/>
          <w:szCs w:val="24"/>
        </w:rPr>
        <w:t xml:space="preserve"> </w:t>
      </w:r>
      <w:r w:rsidR="00575FE8" w:rsidRPr="00575FE8">
        <w:rPr>
          <w:rFonts w:ascii="Times New Roman" w:hAnsi="Times New Roman" w:cs="Times New Roman"/>
          <w:sz w:val="24"/>
          <w:szCs w:val="24"/>
        </w:rPr>
        <w:t>financing innovation projects from the State Programme;</w:t>
      </w:r>
      <w:r w:rsidR="00034562">
        <w:rPr>
          <w:rFonts w:ascii="Times New Roman" w:hAnsi="Times New Roman" w:cs="Times New Roman"/>
          <w:sz w:val="24"/>
          <w:szCs w:val="24"/>
        </w:rPr>
        <w:t xml:space="preserve"> </w:t>
      </w:r>
      <w:r w:rsidR="00575FE8" w:rsidRPr="00575FE8">
        <w:rPr>
          <w:rFonts w:ascii="Times New Roman" w:hAnsi="Times New Roman" w:cs="Times New Roman"/>
          <w:sz w:val="24"/>
          <w:szCs w:val="24"/>
        </w:rPr>
        <w:t>financing R&amp;D aimed at production of new products, services and technologies;</w:t>
      </w:r>
      <w:r w:rsidR="00034562">
        <w:rPr>
          <w:rFonts w:ascii="Times New Roman" w:hAnsi="Times New Roman" w:cs="Times New Roman"/>
          <w:sz w:val="24"/>
          <w:szCs w:val="24"/>
        </w:rPr>
        <w:t xml:space="preserve"> </w:t>
      </w:r>
      <w:r w:rsidR="00575FE8" w:rsidRPr="00575FE8">
        <w:rPr>
          <w:rFonts w:ascii="Times New Roman" w:hAnsi="Times New Roman" w:cs="Times New Roman"/>
          <w:sz w:val="24"/>
          <w:szCs w:val="24"/>
        </w:rPr>
        <w:t>funding the development of innovation infrastructure; and</w:t>
      </w:r>
      <w:r w:rsidR="00034562">
        <w:rPr>
          <w:rFonts w:ascii="Times New Roman" w:hAnsi="Times New Roman" w:cs="Times New Roman"/>
          <w:sz w:val="24"/>
          <w:szCs w:val="24"/>
        </w:rPr>
        <w:t xml:space="preserve"> </w:t>
      </w:r>
      <w:r w:rsidR="00575FE8" w:rsidRPr="00575FE8">
        <w:rPr>
          <w:rFonts w:ascii="Times New Roman" w:hAnsi="Times New Roman" w:cs="Times New Roman"/>
          <w:sz w:val="24"/>
          <w:szCs w:val="24"/>
        </w:rPr>
        <w:t>funding the development of sector laboratories.</w:t>
      </w:r>
      <w:r w:rsidR="00034562">
        <w:rPr>
          <w:rFonts w:ascii="Times New Roman" w:hAnsi="Times New Roman" w:cs="Times New Roman"/>
          <w:sz w:val="24"/>
          <w:szCs w:val="24"/>
        </w:rPr>
        <w:t xml:space="preserve"> </w:t>
      </w:r>
    </w:p>
    <w:p w:rsidR="00034562" w:rsidRDefault="00034562" w:rsidP="00575FE8">
      <w:pPr>
        <w:spacing w:after="0" w:line="240" w:lineRule="auto"/>
        <w:jc w:val="both"/>
        <w:rPr>
          <w:rFonts w:ascii="Times New Roman" w:hAnsi="Times New Roman" w:cs="Times New Roman"/>
          <w:sz w:val="24"/>
          <w:szCs w:val="24"/>
        </w:rPr>
      </w:pPr>
    </w:p>
    <w:p w:rsidR="00575FE8" w:rsidRPr="00575FE8" w:rsidRDefault="00086254" w:rsidP="0057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w:t>
      </w:r>
      <w:r w:rsidR="00575FE8" w:rsidRPr="00575FE8">
        <w:rPr>
          <w:rFonts w:ascii="Times New Roman" w:hAnsi="Times New Roman" w:cs="Times New Roman"/>
          <w:sz w:val="24"/>
          <w:szCs w:val="24"/>
        </w:rPr>
        <w:t xml:space="preserve"> changes in the innovation financing system since 2010 concern cooperation activities with the Russian Innovation Centre regarding the financing of young entrepreneurs</w:t>
      </w:r>
      <w:r>
        <w:rPr>
          <w:rFonts w:ascii="Times New Roman" w:hAnsi="Times New Roman" w:cs="Times New Roman"/>
          <w:sz w:val="24"/>
          <w:szCs w:val="24"/>
        </w:rPr>
        <w:t xml:space="preserve">. A </w:t>
      </w:r>
      <w:r w:rsidR="00575FE8" w:rsidRPr="00575FE8">
        <w:rPr>
          <w:rFonts w:ascii="Times New Roman" w:hAnsi="Times New Roman" w:cs="Times New Roman"/>
          <w:sz w:val="24"/>
          <w:szCs w:val="24"/>
        </w:rPr>
        <w:t>first round of cooperation has been implemented</w:t>
      </w:r>
      <w:r>
        <w:rPr>
          <w:rFonts w:ascii="Times New Roman" w:hAnsi="Times New Roman" w:cs="Times New Roman"/>
          <w:sz w:val="24"/>
          <w:szCs w:val="24"/>
        </w:rPr>
        <w:t xml:space="preserve">. Furthermore, </w:t>
      </w:r>
      <w:r w:rsidR="00575FE8" w:rsidRPr="00575FE8">
        <w:rPr>
          <w:rFonts w:ascii="Times New Roman" w:hAnsi="Times New Roman" w:cs="Times New Roman"/>
          <w:sz w:val="24"/>
          <w:szCs w:val="24"/>
        </w:rPr>
        <w:t>the support of entrepreneurship within a special programme of the Ministry of Economy</w:t>
      </w:r>
      <w:r>
        <w:rPr>
          <w:rFonts w:ascii="Times New Roman" w:hAnsi="Times New Roman" w:cs="Times New Roman"/>
          <w:sz w:val="24"/>
          <w:szCs w:val="24"/>
        </w:rPr>
        <w:t xml:space="preserve"> </w:t>
      </w:r>
      <w:r w:rsidR="00575FE8" w:rsidRPr="00575FE8">
        <w:rPr>
          <w:rFonts w:ascii="Times New Roman" w:hAnsi="Times New Roman" w:cs="Times New Roman"/>
          <w:sz w:val="24"/>
          <w:szCs w:val="24"/>
        </w:rPr>
        <w:t>focusing on business incubation of start-ups</w:t>
      </w:r>
      <w:r>
        <w:rPr>
          <w:rFonts w:ascii="Times New Roman" w:hAnsi="Times New Roman" w:cs="Times New Roman"/>
          <w:sz w:val="24"/>
          <w:szCs w:val="24"/>
        </w:rPr>
        <w:t xml:space="preserve"> was also launched</w:t>
      </w:r>
      <w:r w:rsidR="00575FE8" w:rsidRPr="00575FE8">
        <w:rPr>
          <w:rFonts w:ascii="Times New Roman" w:hAnsi="Times New Roman" w:cs="Times New Roman"/>
          <w:sz w:val="24"/>
          <w:szCs w:val="24"/>
          <w:vertAlign w:val="superscript"/>
        </w:rPr>
        <w:footnoteReference w:id="10"/>
      </w:r>
      <w:r>
        <w:rPr>
          <w:rFonts w:ascii="Times New Roman" w:hAnsi="Times New Roman" w:cs="Times New Roman"/>
          <w:sz w:val="24"/>
          <w:szCs w:val="24"/>
        </w:rPr>
        <w:t>. Finally,</w:t>
      </w:r>
      <w:r w:rsidR="00575FE8" w:rsidRPr="00575FE8">
        <w:rPr>
          <w:rFonts w:ascii="Times New Roman" w:hAnsi="Times New Roman" w:cs="Times New Roman"/>
          <w:sz w:val="24"/>
          <w:szCs w:val="24"/>
        </w:rPr>
        <w:t xml:space="preserve"> the venture tool Business Angels and Venture Investors Network (BAVIN)</w:t>
      </w:r>
      <w:r>
        <w:rPr>
          <w:rFonts w:ascii="Times New Roman" w:hAnsi="Times New Roman" w:cs="Times New Roman"/>
          <w:sz w:val="24"/>
          <w:szCs w:val="24"/>
        </w:rPr>
        <w:t xml:space="preserve"> was</w:t>
      </w:r>
      <w:r w:rsidR="00575FE8" w:rsidRPr="00575FE8">
        <w:rPr>
          <w:rFonts w:ascii="Times New Roman" w:hAnsi="Times New Roman" w:cs="Times New Roman"/>
          <w:sz w:val="24"/>
          <w:szCs w:val="24"/>
        </w:rPr>
        <w:t xml:space="preserve"> developed by the Ministry of Economy, </w:t>
      </w:r>
      <w:r>
        <w:rPr>
          <w:rFonts w:ascii="Times New Roman" w:hAnsi="Times New Roman" w:cs="Times New Roman"/>
          <w:sz w:val="24"/>
          <w:szCs w:val="24"/>
        </w:rPr>
        <w:t>as well as</w:t>
      </w:r>
      <w:r w:rsidR="00575FE8" w:rsidRPr="00575FE8">
        <w:rPr>
          <w:rFonts w:ascii="Times New Roman" w:hAnsi="Times New Roman" w:cs="Times New Roman"/>
          <w:sz w:val="24"/>
          <w:szCs w:val="24"/>
        </w:rPr>
        <w:t xml:space="preserve"> other initiatives, for instance the establishment of different Belarusian crowd</w:t>
      </w:r>
      <w:r>
        <w:rPr>
          <w:rFonts w:ascii="Times New Roman" w:hAnsi="Times New Roman" w:cs="Times New Roman"/>
          <w:sz w:val="24"/>
          <w:szCs w:val="24"/>
        </w:rPr>
        <w:t>-</w:t>
      </w:r>
      <w:r w:rsidR="00575FE8" w:rsidRPr="00575FE8">
        <w:rPr>
          <w:rFonts w:ascii="Times New Roman" w:hAnsi="Times New Roman" w:cs="Times New Roman"/>
          <w:sz w:val="24"/>
          <w:szCs w:val="24"/>
        </w:rPr>
        <w:t>funding platforms</w:t>
      </w:r>
      <w:r w:rsidR="00575FE8" w:rsidRPr="00575FE8">
        <w:rPr>
          <w:rFonts w:ascii="Times New Roman" w:hAnsi="Times New Roman" w:cs="Times New Roman"/>
          <w:sz w:val="24"/>
          <w:szCs w:val="24"/>
          <w:vertAlign w:val="superscript"/>
        </w:rPr>
        <w:footnoteReference w:id="11"/>
      </w:r>
      <w:r w:rsidR="00575FE8" w:rsidRPr="00575FE8">
        <w:rPr>
          <w:rFonts w:ascii="Times New Roman" w:hAnsi="Times New Roman" w:cs="Times New Roman"/>
          <w:sz w:val="24"/>
          <w:szCs w:val="24"/>
        </w:rPr>
        <w:t xml:space="preserve">.     </w:t>
      </w:r>
    </w:p>
    <w:p w:rsidR="00575FE8" w:rsidRPr="00575FE8" w:rsidRDefault="00575FE8" w:rsidP="00575FE8">
      <w:pPr>
        <w:spacing w:after="0" w:line="240" w:lineRule="auto"/>
        <w:jc w:val="both"/>
        <w:rPr>
          <w:rFonts w:ascii="Times New Roman" w:hAnsi="Times New Roman" w:cs="Times New Roman"/>
          <w:sz w:val="24"/>
          <w:szCs w:val="24"/>
          <w:lang w:val="en-US"/>
        </w:rPr>
      </w:pPr>
    </w:p>
    <w:p w:rsidR="00575FE8" w:rsidRPr="00575FE8" w:rsidRDefault="00086254" w:rsidP="0057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sum up, t</w:t>
      </w:r>
      <w:r w:rsidR="00575FE8" w:rsidRPr="00575FE8">
        <w:rPr>
          <w:rFonts w:ascii="Times New Roman" w:hAnsi="Times New Roman" w:cs="Times New Roman"/>
          <w:sz w:val="24"/>
          <w:szCs w:val="24"/>
        </w:rPr>
        <w:t>he system of R&amp;D and innovation funding has been conceptually improved since the first Innovation Performance Review, especially with regard to the creation of institutions providing venture capital, the creation of</w:t>
      </w:r>
      <w:r w:rsidR="002F454C">
        <w:rPr>
          <w:rFonts w:ascii="Times New Roman" w:hAnsi="Times New Roman" w:cs="Times New Roman"/>
          <w:sz w:val="24"/>
          <w:szCs w:val="24"/>
        </w:rPr>
        <w:t xml:space="preserve"> a development bank, the setting up of</w:t>
      </w:r>
      <w:r w:rsidR="00575FE8" w:rsidRPr="00575FE8">
        <w:rPr>
          <w:rFonts w:ascii="Times New Roman" w:hAnsi="Times New Roman" w:cs="Times New Roman"/>
          <w:sz w:val="24"/>
          <w:szCs w:val="24"/>
        </w:rPr>
        <w:t xml:space="preserve"> an informal risk capital market, the establishment of foreign partnerships, the </w:t>
      </w:r>
      <w:r>
        <w:rPr>
          <w:rFonts w:ascii="Times New Roman" w:hAnsi="Times New Roman" w:cs="Times New Roman"/>
          <w:sz w:val="24"/>
          <w:szCs w:val="24"/>
        </w:rPr>
        <w:t xml:space="preserve">revision </w:t>
      </w:r>
      <w:r w:rsidR="00575FE8" w:rsidRPr="00575FE8">
        <w:rPr>
          <w:rFonts w:ascii="Times New Roman" w:hAnsi="Times New Roman" w:cs="Times New Roman"/>
          <w:sz w:val="24"/>
          <w:szCs w:val="24"/>
        </w:rPr>
        <w:t>of the sectoral innovation funds,</w:t>
      </w:r>
      <w:r>
        <w:rPr>
          <w:rFonts w:ascii="Times New Roman" w:hAnsi="Times New Roman" w:cs="Times New Roman"/>
          <w:sz w:val="24"/>
          <w:szCs w:val="24"/>
        </w:rPr>
        <w:t xml:space="preserve">  the setting-up of</w:t>
      </w:r>
      <w:r w:rsidR="00575FE8" w:rsidRPr="00575FE8">
        <w:rPr>
          <w:rFonts w:ascii="Times New Roman" w:hAnsi="Times New Roman" w:cs="Times New Roman"/>
          <w:sz w:val="24"/>
          <w:szCs w:val="24"/>
        </w:rPr>
        <w:t xml:space="preserve"> support schemes offered by the Belarus Innovation Funds, and the set-up of complementary institutions/platforms like business incubators. However, most of these mechanisms are </w:t>
      </w:r>
      <w:r w:rsidR="002F454C">
        <w:rPr>
          <w:rFonts w:ascii="Times New Roman" w:hAnsi="Times New Roman" w:cs="Times New Roman"/>
          <w:sz w:val="24"/>
          <w:szCs w:val="24"/>
        </w:rPr>
        <w:t>yet to be fully</w:t>
      </w:r>
      <w:r w:rsidR="00575FE8" w:rsidRPr="00575FE8">
        <w:rPr>
          <w:rFonts w:ascii="Times New Roman" w:hAnsi="Times New Roman" w:cs="Times New Roman"/>
          <w:sz w:val="24"/>
          <w:szCs w:val="24"/>
        </w:rPr>
        <w:t xml:space="preserve"> implemented.</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894BD9" w:rsidRDefault="00575FE8" w:rsidP="00575FE8">
      <w:pPr>
        <w:spacing w:after="0" w:line="240" w:lineRule="auto"/>
        <w:jc w:val="both"/>
        <w:rPr>
          <w:rFonts w:ascii="Times New Roman" w:hAnsi="Times New Roman" w:cs="Times New Roman"/>
          <w:i/>
          <w:sz w:val="24"/>
          <w:szCs w:val="24"/>
        </w:rPr>
      </w:pPr>
      <w:r w:rsidRPr="00894BD9">
        <w:rPr>
          <w:rFonts w:ascii="Times New Roman" w:hAnsi="Times New Roman" w:cs="Times New Roman"/>
          <w:i/>
          <w:sz w:val="24"/>
          <w:szCs w:val="24"/>
        </w:rPr>
        <w:t xml:space="preserve">Role of universities and research centres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The Belarusian Government regards the universities as well the non-university research centres as essential drivers for innovation and knowledge generation. For the Ministry of Education the development of universities and innovation activities is a co-dependant process. Therefore, </w:t>
      </w:r>
      <w:r w:rsidRPr="00575FE8">
        <w:rPr>
          <w:rFonts w:ascii="Times New Roman" w:hAnsi="Times New Roman" w:cs="Times New Roman"/>
          <w:i/>
          <w:sz w:val="24"/>
          <w:szCs w:val="24"/>
        </w:rPr>
        <w:t>legislative changes</w:t>
      </w:r>
      <w:r w:rsidRPr="00575FE8">
        <w:rPr>
          <w:rFonts w:ascii="Times New Roman" w:hAnsi="Times New Roman" w:cs="Times New Roman"/>
          <w:sz w:val="24"/>
          <w:szCs w:val="24"/>
        </w:rPr>
        <w:t xml:space="preserve"> since 2010 put emphasis on priority areas, </w:t>
      </w:r>
      <w:r w:rsidR="00786189">
        <w:rPr>
          <w:rFonts w:ascii="Times New Roman" w:hAnsi="Times New Roman" w:cs="Times New Roman"/>
          <w:sz w:val="24"/>
          <w:szCs w:val="24"/>
        </w:rPr>
        <w:t>which</w:t>
      </w:r>
      <w:r w:rsidRPr="00575FE8">
        <w:rPr>
          <w:rFonts w:ascii="Times New Roman" w:hAnsi="Times New Roman" w:cs="Times New Roman"/>
          <w:sz w:val="24"/>
          <w:szCs w:val="24"/>
        </w:rPr>
        <w:t xml:space="preserve"> often resulted in new organisational structures, particularly at the large scientific research organisations like the National Academy of Sciences, the Belarusian State University or the Technical University. </w:t>
      </w:r>
    </w:p>
    <w:p w:rsidR="00575FE8" w:rsidRPr="00575FE8" w:rsidRDefault="00575FE8" w:rsidP="00575FE8">
      <w:pPr>
        <w:spacing w:after="0" w:line="240" w:lineRule="auto"/>
        <w:jc w:val="both"/>
        <w:rPr>
          <w:rFonts w:ascii="Times New Roman" w:hAnsi="Times New Roman" w:cs="Times New Roman"/>
          <w:sz w:val="24"/>
          <w:szCs w:val="24"/>
        </w:rPr>
      </w:pPr>
    </w:p>
    <w:p w:rsid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Looking at R&amp;D expenditure of the Higher Education sector according to its sources of funds, the following table shows </w:t>
      </w:r>
      <w:r w:rsidR="000C5924">
        <w:rPr>
          <w:rFonts w:ascii="Times New Roman" w:hAnsi="Times New Roman" w:cs="Times New Roman"/>
          <w:sz w:val="24"/>
          <w:szCs w:val="24"/>
        </w:rPr>
        <w:t xml:space="preserve">changes in </w:t>
      </w:r>
      <w:r w:rsidRPr="00575FE8">
        <w:rPr>
          <w:rFonts w:ascii="Times New Roman" w:hAnsi="Times New Roman" w:cs="Times New Roman"/>
          <w:sz w:val="24"/>
          <w:szCs w:val="24"/>
        </w:rPr>
        <w:t>the composition of the different funding sources</w:t>
      </w:r>
      <w:r w:rsidR="000C5924">
        <w:rPr>
          <w:rFonts w:ascii="Times New Roman" w:hAnsi="Times New Roman" w:cs="Times New Roman"/>
          <w:sz w:val="24"/>
          <w:szCs w:val="24"/>
        </w:rPr>
        <w:t xml:space="preserve"> </w:t>
      </w:r>
      <w:r w:rsidRPr="00575FE8">
        <w:rPr>
          <w:rFonts w:ascii="Times New Roman" w:hAnsi="Times New Roman" w:cs="Times New Roman"/>
          <w:sz w:val="24"/>
          <w:szCs w:val="24"/>
        </w:rPr>
        <w:t xml:space="preserve">since 2005. </w:t>
      </w:r>
    </w:p>
    <w:p w:rsidR="005A10ED" w:rsidRPr="00575FE8" w:rsidRDefault="005A10ED" w:rsidP="00575FE8">
      <w:pPr>
        <w:spacing w:after="0" w:line="240" w:lineRule="auto"/>
        <w:jc w:val="both"/>
        <w:rPr>
          <w:rFonts w:ascii="Times New Roman" w:hAnsi="Times New Roman" w:cs="Times New Roman"/>
          <w:sz w:val="24"/>
          <w:szCs w:val="24"/>
        </w:rPr>
      </w:pPr>
    </w:p>
    <w:p w:rsidR="00575FE8" w:rsidRPr="00575FE8" w:rsidRDefault="00575FE8" w:rsidP="00575FE8">
      <w:pPr>
        <w:widowControl w:val="0"/>
        <w:spacing w:after="80" w:line="240" w:lineRule="atLeast"/>
        <w:ind w:left="1418" w:right="23" w:hanging="1418"/>
        <w:jc w:val="both"/>
        <w:rPr>
          <w:rFonts w:ascii="Times New Roman" w:hAnsi="Times New Roman" w:cs="Times New Roman"/>
          <w:sz w:val="24"/>
          <w:szCs w:val="24"/>
          <w:lang w:val="en-US"/>
        </w:rPr>
      </w:pPr>
      <w:r w:rsidRPr="00367FA8">
        <w:rPr>
          <w:rFonts w:ascii="Times New Roman" w:hAnsi="Times New Roman" w:cs="Times New Roman"/>
          <w:sz w:val="24"/>
          <w:szCs w:val="24"/>
          <w:highlight w:val="yellow"/>
          <w:lang w:val="en-US"/>
        </w:rPr>
        <w:t>Table X</w:t>
      </w:r>
      <w:r w:rsidRPr="00575FE8">
        <w:rPr>
          <w:rFonts w:ascii="Times New Roman" w:hAnsi="Times New Roman" w:cs="Times New Roman"/>
          <w:sz w:val="24"/>
          <w:szCs w:val="24"/>
          <w:lang w:val="en-US"/>
        </w:rPr>
        <w:t xml:space="preserve">: </w:t>
      </w:r>
      <w:r w:rsidRPr="00575FE8">
        <w:rPr>
          <w:rFonts w:ascii="Times New Roman" w:hAnsi="Times New Roman" w:cs="Times New Roman"/>
          <w:sz w:val="24"/>
          <w:szCs w:val="24"/>
          <w:lang w:val="en-US"/>
        </w:rPr>
        <w:tab/>
        <w:t>R&amp;D expenditure of Higher education sector by sources of funds (in million Rubles)</w:t>
      </w:r>
    </w:p>
    <w:tbl>
      <w:tblPr>
        <w:tblStyle w:val="TableGrid6"/>
        <w:tblW w:w="9174" w:type="dxa"/>
        <w:tblInd w:w="108" w:type="dxa"/>
        <w:tblLook w:val="04A0" w:firstRow="1" w:lastRow="0" w:firstColumn="1" w:lastColumn="0" w:noHBand="0" w:noVBand="1"/>
      </w:tblPr>
      <w:tblGrid>
        <w:gridCol w:w="3119"/>
        <w:gridCol w:w="1009"/>
        <w:gridCol w:w="1009"/>
        <w:gridCol w:w="1009"/>
        <w:gridCol w:w="1009"/>
        <w:gridCol w:w="1009"/>
        <w:gridCol w:w="1010"/>
      </w:tblGrid>
      <w:tr w:rsidR="00575FE8" w:rsidRPr="00575FE8" w:rsidTr="00575FE8">
        <w:tc>
          <w:tcPr>
            <w:tcW w:w="3119" w:type="dxa"/>
          </w:tcPr>
          <w:p w:rsidR="00575FE8" w:rsidRPr="00472493" w:rsidRDefault="00575FE8" w:rsidP="00575FE8">
            <w:pPr>
              <w:widowControl w:val="0"/>
              <w:spacing w:line="341" w:lineRule="exact"/>
              <w:ind w:right="20"/>
              <w:jc w:val="center"/>
              <w:rPr>
                <w:sz w:val="20"/>
                <w:szCs w:val="20"/>
                <w:lang w:val="en-US"/>
              </w:rPr>
            </w:pPr>
          </w:p>
        </w:tc>
        <w:tc>
          <w:tcPr>
            <w:tcW w:w="100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2005</w:t>
            </w:r>
          </w:p>
        </w:tc>
        <w:tc>
          <w:tcPr>
            <w:tcW w:w="100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2010</w:t>
            </w:r>
          </w:p>
        </w:tc>
        <w:tc>
          <w:tcPr>
            <w:tcW w:w="100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2011</w:t>
            </w:r>
          </w:p>
        </w:tc>
        <w:tc>
          <w:tcPr>
            <w:tcW w:w="100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2012</w:t>
            </w:r>
          </w:p>
        </w:tc>
        <w:tc>
          <w:tcPr>
            <w:tcW w:w="100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2013</w:t>
            </w:r>
          </w:p>
        </w:tc>
        <w:tc>
          <w:tcPr>
            <w:tcW w:w="1010"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2014</w:t>
            </w:r>
          </w:p>
        </w:tc>
      </w:tr>
      <w:tr w:rsidR="00575FE8" w:rsidRPr="00575FE8" w:rsidTr="00575FE8">
        <w:tc>
          <w:tcPr>
            <w:tcW w:w="3119" w:type="dxa"/>
          </w:tcPr>
          <w:p w:rsidR="00575FE8" w:rsidRPr="00472493" w:rsidRDefault="00575FE8" w:rsidP="00575FE8">
            <w:pPr>
              <w:widowControl w:val="0"/>
              <w:spacing w:line="341" w:lineRule="exact"/>
              <w:ind w:left="34" w:right="20"/>
              <w:rPr>
                <w:sz w:val="20"/>
                <w:szCs w:val="20"/>
                <w:lang w:val="en-US"/>
              </w:rPr>
            </w:pPr>
            <w:r w:rsidRPr="00472493">
              <w:rPr>
                <w:sz w:val="20"/>
                <w:szCs w:val="20"/>
                <w:lang w:val="en-US"/>
              </w:rPr>
              <w:lastRenderedPageBreak/>
              <w:t xml:space="preserve">Total R&amp;D expenditure </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75.123</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144.092</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199.559</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354.107</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474.006</w:t>
            </w:r>
          </w:p>
        </w:tc>
        <w:tc>
          <w:tcPr>
            <w:tcW w:w="1010"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475.456</w:t>
            </w:r>
          </w:p>
        </w:tc>
      </w:tr>
      <w:tr w:rsidR="00575FE8" w:rsidRPr="00575FE8" w:rsidTr="00575FE8">
        <w:tc>
          <w:tcPr>
            <w:tcW w:w="3119" w:type="dxa"/>
          </w:tcPr>
          <w:p w:rsidR="00575FE8" w:rsidRPr="00472493" w:rsidRDefault="00575FE8" w:rsidP="00575FE8">
            <w:pPr>
              <w:widowControl w:val="0"/>
              <w:spacing w:before="80"/>
              <w:ind w:left="459" w:right="23"/>
              <w:jc w:val="both"/>
              <w:rPr>
                <w:sz w:val="20"/>
                <w:szCs w:val="20"/>
                <w:lang w:val="en-US"/>
              </w:rPr>
            </w:pPr>
            <w:r w:rsidRPr="00472493">
              <w:rPr>
                <w:sz w:val="20"/>
                <w:szCs w:val="20"/>
                <w:lang w:val="en-US"/>
              </w:rPr>
              <w:t>of which by source of funds</w:t>
            </w:r>
          </w:p>
        </w:tc>
        <w:tc>
          <w:tcPr>
            <w:tcW w:w="1009" w:type="dxa"/>
          </w:tcPr>
          <w:p w:rsidR="00575FE8" w:rsidRPr="00472493" w:rsidRDefault="00575FE8" w:rsidP="00575FE8">
            <w:pPr>
              <w:widowControl w:val="0"/>
              <w:ind w:right="23"/>
              <w:jc w:val="both"/>
              <w:rPr>
                <w:sz w:val="20"/>
                <w:szCs w:val="20"/>
                <w:lang w:val="en-US"/>
              </w:rPr>
            </w:pPr>
          </w:p>
        </w:tc>
        <w:tc>
          <w:tcPr>
            <w:tcW w:w="1009" w:type="dxa"/>
          </w:tcPr>
          <w:p w:rsidR="00575FE8" w:rsidRPr="00472493" w:rsidRDefault="00575FE8" w:rsidP="00575FE8">
            <w:pPr>
              <w:widowControl w:val="0"/>
              <w:ind w:right="23"/>
              <w:jc w:val="both"/>
              <w:rPr>
                <w:sz w:val="20"/>
                <w:szCs w:val="20"/>
                <w:lang w:val="en-US"/>
              </w:rPr>
            </w:pPr>
          </w:p>
        </w:tc>
        <w:tc>
          <w:tcPr>
            <w:tcW w:w="1009" w:type="dxa"/>
          </w:tcPr>
          <w:p w:rsidR="00575FE8" w:rsidRPr="00472493" w:rsidRDefault="00575FE8" w:rsidP="00575FE8">
            <w:pPr>
              <w:widowControl w:val="0"/>
              <w:ind w:right="23"/>
              <w:jc w:val="both"/>
              <w:rPr>
                <w:sz w:val="20"/>
                <w:szCs w:val="20"/>
                <w:lang w:val="en-US"/>
              </w:rPr>
            </w:pPr>
          </w:p>
        </w:tc>
        <w:tc>
          <w:tcPr>
            <w:tcW w:w="1009" w:type="dxa"/>
          </w:tcPr>
          <w:p w:rsidR="00575FE8" w:rsidRPr="00472493" w:rsidRDefault="00575FE8" w:rsidP="00575FE8">
            <w:pPr>
              <w:widowControl w:val="0"/>
              <w:ind w:right="23"/>
              <w:jc w:val="both"/>
              <w:rPr>
                <w:sz w:val="20"/>
                <w:szCs w:val="20"/>
                <w:lang w:val="en-US"/>
              </w:rPr>
            </w:pPr>
          </w:p>
        </w:tc>
        <w:tc>
          <w:tcPr>
            <w:tcW w:w="1009" w:type="dxa"/>
          </w:tcPr>
          <w:p w:rsidR="00575FE8" w:rsidRPr="00472493" w:rsidRDefault="00575FE8" w:rsidP="00575FE8">
            <w:pPr>
              <w:widowControl w:val="0"/>
              <w:ind w:right="23"/>
              <w:jc w:val="both"/>
              <w:rPr>
                <w:sz w:val="20"/>
                <w:szCs w:val="20"/>
                <w:lang w:val="en-US"/>
              </w:rPr>
            </w:pPr>
          </w:p>
        </w:tc>
        <w:tc>
          <w:tcPr>
            <w:tcW w:w="1010" w:type="dxa"/>
          </w:tcPr>
          <w:p w:rsidR="00575FE8" w:rsidRPr="00472493" w:rsidRDefault="00575FE8" w:rsidP="00575FE8">
            <w:pPr>
              <w:widowControl w:val="0"/>
              <w:ind w:right="23"/>
              <w:jc w:val="both"/>
              <w:rPr>
                <w:sz w:val="20"/>
                <w:szCs w:val="20"/>
                <w:lang w:val="en-US"/>
              </w:rPr>
            </w:pPr>
          </w:p>
        </w:tc>
      </w:tr>
      <w:tr w:rsidR="00575FE8" w:rsidRPr="00575FE8" w:rsidTr="00575FE8">
        <w:tc>
          <w:tcPr>
            <w:tcW w:w="3119" w:type="dxa"/>
          </w:tcPr>
          <w:p w:rsidR="00575FE8" w:rsidRPr="00472493" w:rsidRDefault="00575FE8" w:rsidP="00575FE8">
            <w:pPr>
              <w:widowControl w:val="0"/>
              <w:spacing w:line="341" w:lineRule="exact"/>
              <w:ind w:left="176" w:right="23"/>
              <w:jc w:val="both"/>
              <w:rPr>
                <w:sz w:val="20"/>
                <w:szCs w:val="20"/>
                <w:lang w:val="en-US"/>
              </w:rPr>
            </w:pPr>
            <w:r w:rsidRPr="00472493">
              <w:rPr>
                <w:sz w:val="20"/>
                <w:szCs w:val="20"/>
                <w:lang w:val="en-US"/>
              </w:rPr>
              <w:t>own funds</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2327</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2.908</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3102</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4549</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3454</w:t>
            </w:r>
          </w:p>
        </w:tc>
        <w:tc>
          <w:tcPr>
            <w:tcW w:w="1010"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4728</w:t>
            </w:r>
          </w:p>
        </w:tc>
      </w:tr>
      <w:tr w:rsidR="00575FE8" w:rsidRPr="00575FE8" w:rsidTr="00575FE8">
        <w:tc>
          <w:tcPr>
            <w:tcW w:w="3119" w:type="dxa"/>
          </w:tcPr>
          <w:p w:rsidR="00575FE8" w:rsidRPr="00472493" w:rsidRDefault="00575FE8" w:rsidP="00575FE8">
            <w:pPr>
              <w:widowControl w:val="0"/>
              <w:spacing w:line="341" w:lineRule="exact"/>
              <w:ind w:left="176" w:right="20"/>
              <w:jc w:val="both"/>
              <w:rPr>
                <w:sz w:val="20"/>
                <w:szCs w:val="20"/>
                <w:lang w:val="en-US"/>
              </w:rPr>
            </w:pPr>
            <w:r w:rsidRPr="00472493">
              <w:rPr>
                <w:sz w:val="20"/>
                <w:szCs w:val="20"/>
                <w:lang w:val="en-US"/>
              </w:rPr>
              <w:t>budget</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44837</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96.426</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132516</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233668</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324437</w:t>
            </w:r>
          </w:p>
        </w:tc>
        <w:tc>
          <w:tcPr>
            <w:tcW w:w="1010"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311951</w:t>
            </w:r>
          </w:p>
        </w:tc>
      </w:tr>
      <w:tr w:rsidR="00575FE8" w:rsidRPr="00575FE8" w:rsidTr="00575FE8">
        <w:tc>
          <w:tcPr>
            <w:tcW w:w="3119" w:type="dxa"/>
          </w:tcPr>
          <w:p w:rsidR="00575FE8" w:rsidRPr="00472493" w:rsidRDefault="00575FE8" w:rsidP="00575FE8">
            <w:pPr>
              <w:widowControl w:val="0"/>
              <w:spacing w:line="341" w:lineRule="exact"/>
              <w:ind w:left="176" w:right="23"/>
              <w:jc w:val="both"/>
              <w:rPr>
                <w:sz w:val="20"/>
                <w:szCs w:val="20"/>
                <w:lang w:val="en-US"/>
              </w:rPr>
            </w:pPr>
            <w:r w:rsidRPr="00472493">
              <w:rPr>
                <w:sz w:val="20"/>
                <w:szCs w:val="20"/>
                <w:lang w:val="en-US"/>
              </w:rPr>
              <w:t xml:space="preserve">extra-budgetary funds </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1714</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33</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238</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191</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3949</w:t>
            </w:r>
          </w:p>
        </w:tc>
        <w:tc>
          <w:tcPr>
            <w:tcW w:w="1010"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2805</w:t>
            </w:r>
          </w:p>
        </w:tc>
      </w:tr>
      <w:tr w:rsidR="00575FE8" w:rsidRPr="00575FE8" w:rsidTr="00575FE8">
        <w:tc>
          <w:tcPr>
            <w:tcW w:w="3119" w:type="dxa"/>
          </w:tcPr>
          <w:p w:rsidR="00575FE8" w:rsidRPr="00472493" w:rsidRDefault="00575FE8" w:rsidP="00575FE8">
            <w:pPr>
              <w:widowControl w:val="0"/>
              <w:spacing w:before="80"/>
              <w:ind w:left="176" w:right="23"/>
              <w:rPr>
                <w:sz w:val="20"/>
                <w:szCs w:val="20"/>
                <w:lang w:val="en-US"/>
              </w:rPr>
            </w:pPr>
            <w:r w:rsidRPr="00472493">
              <w:rPr>
                <w:sz w:val="20"/>
                <w:szCs w:val="20"/>
                <w:lang w:val="en-US"/>
              </w:rPr>
              <w:t>foreign investment, incl. foreign credits and loans</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1824</w:t>
            </w:r>
          </w:p>
        </w:tc>
        <w:tc>
          <w:tcPr>
            <w:tcW w:w="1009" w:type="dxa"/>
          </w:tcPr>
          <w:p w:rsidR="00575FE8" w:rsidRPr="00472493" w:rsidRDefault="00575FE8" w:rsidP="00575FE8">
            <w:pPr>
              <w:widowControl w:val="0"/>
              <w:spacing w:line="341" w:lineRule="exact"/>
              <w:ind w:right="20"/>
              <w:jc w:val="both"/>
              <w:rPr>
                <w:sz w:val="20"/>
                <w:szCs w:val="20"/>
                <w:lang w:val="en-US"/>
              </w:rPr>
            </w:pPr>
            <w:r w:rsidRPr="00472493">
              <w:rPr>
                <w:sz w:val="20"/>
                <w:szCs w:val="20"/>
                <w:lang w:val="en-US"/>
              </w:rPr>
              <w:t>7.582</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15225</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29919</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32118</w:t>
            </w:r>
          </w:p>
        </w:tc>
        <w:tc>
          <w:tcPr>
            <w:tcW w:w="1010"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29948</w:t>
            </w:r>
          </w:p>
        </w:tc>
      </w:tr>
      <w:tr w:rsidR="00575FE8" w:rsidRPr="00575FE8" w:rsidTr="00575FE8">
        <w:tc>
          <w:tcPr>
            <w:tcW w:w="3119" w:type="dxa"/>
          </w:tcPr>
          <w:p w:rsidR="00575FE8" w:rsidRPr="00472493" w:rsidRDefault="00575FE8" w:rsidP="00575FE8">
            <w:pPr>
              <w:widowControl w:val="0"/>
              <w:spacing w:before="80"/>
              <w:ind w:left="176" w:right="23"/>
              <w:rPr>
                <w:sz w:val="20"/>
                <w:szCs w:val="20"/>
                <w:lang w:val="en-US"/>
              </w:rPr>
            </w:pPr>
            <w:r w:rsidRPr="00472493">
              <w:rPr>
                <w:sz w:val="20"/>
                <w:szCs w:val="20"/>
                <w:lang w:val="en-US"/>
              </w:rPr>
              <w:t>funds of other organisations</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24421</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37135</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48478</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85780</w:t>
            </w:r>
          </w:p>
        </w:tc>
        <w:tc>
          <w:tcPr>
            <w:tcW w:w="1009"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110048</w:t>
            </w:r>
          </w:p>
        </w:tc>
        <w:tc>
          <w:tcPr>
            <w:tcW w:w="1010" w:type="dxa"/>
          </w:tcPr>
          <w:p w:rsidR="00575FE8" w:rsidRPr="00472493" w:rsidRDefault="00575FE8" w:rsidP="00792D70">
            <w:pPr>
              <w:widowControl w:val="0"/>
              <w:spacing w:line="341" w:lineRule="exact"/>
              <w:ind w:right="20"/>
              <w:jc w:val="both"/>
              <w:rPr>
                <w:sz w:val="20"/>
                <w:szCs w:val="20"/>
                <w:lang w:val="en-US"/>
              </w:rPr>
            </w:pPr>
            <w:r w:rsidRPr="00472493">
              <w:rPr>
                <w:sz w:val="20"/>
                <w:szCs w:val="20"/>
                <w:lang w:val="en-US"/>
              </w:rPr>
              <w:t>126024</w:t>
            </w:r>
          </w:p>
        </w:tc>
      </w:tr>
    </w:tbl>
    <w:p w:rsidR="00575FE8" w:rsidRPr="00575FE8" w:rsidRDefault="00575FE8" w:rsidP="00575FE8">
      <w:pPr>
        <w:widowControl w:val="0"/>
        <w:spacing w:before="60" w:after="0" w:line="240" w:lineRule="auto"/>
        <w:ind w:left="23" w:right="23" w:hanging="23"/>
        <w:jc w:val="both"/>
        <w:rPr>
          <w:rFonts w:ascii="Times New Roman" w:hAnsi="Times New Roman" w:cs="Times New Roman"/>
          <w:sz w:val="20"/>
          <w:szCs w:val="20"/>
          <w:lang w:val="en-US"/>
        </w:rPr>
      </w:pPr>
      <w:r w:rsidRPr="00575FE8">
        <w:rPr>
          <w:rFonts w:ascii="Times New Roman" w:hAnsi="Times New Roman" w:cs="Times New Roman"/>
          <w:sz w:val="20"/>
          <w:szCs w:val="20"/>
          <w:lang w:val="en-US"/>
        </w:rPr>
        <w:t>Source: National Statistical Committee: Science and innovation activity in the Republic of Belarus 2015</w:t>
      </w:r>
    </w:p>
    <w:p w:rsidR="00575FE8" w:rsidRPr="00575FE8" w:rsidRDefault="00575FE8" w:rsidP="00575FE8">
      <w:pPr>
        <w:spacing w:after="0" w:line="240" w:lineRule="auto"/>
        <w:jc w:val="both"/>
        <w:rPr>
          <w:rFonts w:ascii="Times New Roman" w:hAnsi="Times New Roman" w:cs="Times New Roman"/>
          <w:b/>
          <w:i/>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Belarusian universities and research centres have </w:t>
      </w:r>
      <w:r w:rsidR="00D2754C">
        <w:rPr>
          <w:rFonts w:ascii="Times New Roman" w:hAnsi="Times New Roman" w:cs="Times New Roman"/>
          <w:sz w:val="24"/>
          <w:szCs w:val="24"/>
        </w:rPr>
        <w:t xml:space="preserve">diversified the sources of funding for </w:t>
      </w:r>
      <w:r w:rsidRPr="00575FE8">
        <w:rPr>
          <w:rFonts w:ascii="Times New Roman" w:hAnsi="Times New Roman" w:cs="Times New Roman"/>
          <w:sz w:val="24"/>
          <w:szCs w:val="24"/>
        </w:rPr>
        <w:t xml:space="preserve">innovations by setting-up new organisational units, be it </w:t>
      </w:r>
      <w:r w:rsidR="005A10ED">
        <w:rPr>
          <w:rFonts w:ascii="Times New Roman" w:hAnsi="Times New Roman" w:cs="Times New Roman"/>
          <w:sz w:val="24"/>
          <w:szCs w:val="24"/>
        </w:rPr>
        <w:t xml:space="preserve">internally </w:t>
      </w:r>
      <w:r w:rsidRPr="00575FE8">
        <w:rPr>
          <w:rFonts w:ascii="Times New Roman" w:hAnsi="Times New Roman" w:cs="Times New Roman"/>
          <w:sz w:val="24"/>
          <w:szCs w:val="24"/>
        </w:rPr>
        <w:t xml:space="preserve">(e.g. National Academy of Sciences </w:t>
      </w:r>
      <w:r w:rsidR="00D2754C">
        <w:rPr>
          <w:rFonts w:ascii="Times New Roman" w:hAnsi="Times New Roman" w:cs="Times New Roman"/>
          <w:sz w:val="24"/>
          <w:szCs w:val="24"/>
        </w:rPr>
        <w:t xml:space="preserve">with </w:t>
      </w:r>
      <w:r w:rsidRPr="00575FE8">
        <w:rPr>
          <w:rFonts w:ascii="Times New Roman" w:hAnsi="Times New Roman" w:cs="Times New Roman"/>
          <w:sz w:val="24"/>
          <w:szCs w:val="24"/>
        </w:rPr>
        <w:t>the different institutions and enterprises subordinated to the NAS),</w:t>
      </w:r>
      <w:r w:rsidR="000C5924">
        <w:rPr>
          <w:rFonts w:ascii="Times New Roman" w:hAnsi="Times New Roman" w:cs="Times New Roman"/>
          <w:sz w:val="24"/>
          <w:szCs w:val="24"/>
        </w:rPr>
        <w:t xml:space="preserve"> or through </w:t>
      </w:r>
      <w:r w:rsidRPr="00575FE8">
        <w:rPr>
          <w:rFonts w:ascii="Times New Roman" w:hAnsi="Times New Roman" w:cs="Times New Roman"/>
          <w:sz w:val="24"/>
          <w:szCs w:val="24"/>
        </w:rPr>
        <w:t>improv</w:t>
      </w:r>
      <w:r w:rsidR="000C5924">
        <w:rPr>
          <w:rFonts w:ascii="Times New Roman" w:hAnsi="Times New Roman" w:cs="Times New Roman"/>
          <w:sz w:val="24"/>
          <w:szCs w:val="24"/>
        </w:rPr>
        <w:t>ing</w:t>
      </w:r>
      <w:r w:rsidRPr="00575FE8">
        <w:rPr>
          <w:rFonts w:ascii="Times New Roman" w:hAnsi="Times New Roman" w:cs="Times New Roman"/>
          <w:sz w:val="24"/>
          <w:szCs w:val="24"/>
        </w:rPr>
        <w:t xml:space="preserve"> linkages to external organizations to establish new support infrastructures like Techno</w:t>
      </w:r>
      <w:r w:rsidR="00397FC7">
        <w:rPr>
          <w:rFonts w:ascii="Times New Roman" w:hAnsi="Times New Roman" w:cs="Times New Roman"/>
          <w:sz w:val="24"/>
          <w:szCs w:val="24"/>
        </w:rPr>
        <w:t>-</w:t>
      </w:r>
      <w:r w:rsidRPr="00575FE8">
        <w:rPr>
          <w:rFonts w:ascii="Times New Roman" w:hAnsi="Times New Roman" w:cs="Times New Roman"/>
          <w:sz w:val="24"/>
          <w:szCs w:val="24"/>
        </w:rPr>
        <w:t xml:space="preserve">parks, incubators or start-up centres.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For the </w:t>
      </w:r>
      <w:r w:rsidRPr="00575FE8">
        <w:rPr>
          <w:rFonts w:ascii="Times New Roman" w:hAnsi="Times New Roman" w:cs="Times New Roman"/>
          <w:i/>
          <w:sz w:val="24"/>
          <w:szCs w:val="24"/>
        </w:rPr>
        <w:t>National Academy of Sciences of Belarus</w:t>
      </w:r>
      <w:r w:rsidRPr="00575FE8">
        <w:rPr>
          <w:rFonts w:ascii="Times New Roman" w:hAnsi="Times New Roman" w:cs="Times New Roman"/>
          <w:sz w:val="24"/>
          <w:szCs w:val="24"/>
        </w:rPr>
        <w:t xml:space="preserve"> (NAS), innovation is on top of the agenda. The main changes since 2010 relate to the implementation of new legislation and regulation. In this regard, the adoption of the law on innovation activities and the presidential edict on commercialization of scientific research resulted in a significant impact on innovation activities in the country</w:t>
      </w:r>
      <w:r w:rsidRPr="00575FE8">
        <w:rPr>
          <w:rFonts w:ascii="Times New Roman" w:hAnsi="Times New Roman" w:cs="Times New Roman"/>
          <w:sz w:val="24"/>
          <w:szCs w:val="24"/>
          <w:vertAlign w:val="superscript"/>
        </w:rPr>
        <w:footnoteReference w:id="12"/>
      </w:r>
      <w:r w:rsidRPr="00575FE8">
        <w:rPr>
          <w:rFonts w:ascii="Times New Roman" w:hAnsi="Times New Roman" w:cs="Times New Roman"/>
          <w:sz w:val="24"/>
          <w:szCs w:val="24"/>
        </w:rPr>
        <w:t xml:space="preserve"> .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For instance, as </w:t>
      </w:r>
      <w:r w:rsidRPr="00575FE8">
        <w:rPr>
          <w:rFonts w:ascii="Times New Roman" w:hAnsi="Times New Roman" w:cs="Times New Roman"/>
          <w:i/>
          <w:sz w:val="24"/>
          <w:szCs w:val="24"/>
        </w:rPr>
        <w:t>the</w:t>
      </w:r>
      <w:r w:rsidRPr="00575FE8">
        <w:rPr>
          <w:rFonts w:ascii="Times New Roman" w:hAnsi="Times New Roman" w:cs="Times New Roman"/>
          <w:sz w:val="24"/>
          <w:szCs w:val="24"/>
        </w:rPr>
        <w:t xml:space="preserve"> institution still carrying out the bulk of R&amp;D in Belarus, a gradual shift has been made since 2010 from scientific research activities (basic research) to scientific-technical research projects, which are more applied oriented and pursue the goal to provide services for innovation. Due to the existence of commercial enterprises within the NAS sphere (in total, there are 122 different organizations subordinated to the NAS – institutions and enterprises), NAS seeks to encourage own production</w:t>
      </w:r>
      <w:r w:rsidRPr="00575FE8">
        <w:rPr>
          <w:rFonts w:ascii="Times New Roman" w:hAnsi="Times New Roman" w:cs="Times New Roman"/>
          <w:sz w:val="24"/>
          <w:szCs w:val="24"/>
          <w:vertAlign w:val="superscript"/>
        </w:rPr>
        <w:footnoteReference w:id="13"/>
      </w:r>
      <w:r w:rsidRPr="00575FE8">
        <w:rPr>
          <w:rFonts w:ascii="Times New Roman" w:hAnsi="Times New Roman" w:cs="Times New Roman"/>
          <w:sz w:val="24"/>
          <w:szCs w:val="24"/>
        </w:rPr>
        <w:t xml:space="preserve"> and to facilitate access to external support for the export of science-based production.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Within the context of </w:t>
      </w:r>
      <w:r w:rsidR="00D2754C">
        <w:rPr>
          <w:rFonts w:ascii="Times New Roman" w:hAnsi="Times New Roman" w:cs="Times New Roman"/>
          <w:sz w:val="24"/>
          <w:szCs w:val="24"/>
        </w:rPr>
        <w:t>a gradual change of</w:t>
      </w:r>
      <w:r w:rsidRPr="00575FE8">
        <w:rPr>
          <w:rFonts w:ascii="Times New Roman" w:hAnsi="Times New Roman" w:cs="Times New Roman"/>
          <w:sz w:val="24"/>
          <w:szCs w:val="24"/>
        </w:rPr>
        <w:t xml:space="preserve"> NAS from</w:t>
      </w:r>
      <w:r w:rsidR="00D2754C">
        <w:rPr>
          <w:rFonts w:ascii="Times New Roman" w:hAnsi="Times New Roman" w:cs="Times New Roman"/>
          <w:sz w:val="24"/>
          <w:szCs w:val="24"/>
        </w:rPr>
        <w:t xml:space="preserve"> being</w:t>
      </w:r>
      <w:r w:rsidRPr="00575FE8">
        <w:rPr>
          <w:rFonts w:ascii="Times New Roman" w:hAnsi="Times New Roman" w:cs="Times New Roman"/>
          <w:sz w:val="24"/>
          <w:szCs w:val="24"/>
        </w:rPr>
        <w:t xml:space="preserve"> a purely scientific organization to a more applied organization, </w:t>
      </w:r>
      <w:r w:rsidRPr="00575FE8">
        <w:rPr>
          <w:rFonts w:ascii="Times New Roman" w:hAnsi="Times New Roman" w:cs="Times New Roman"/>
          <w:i/>
          <w:sz w:val="24"/>
          <w:szCs w:val="24"/>
        </w:rPr>
        <w:t>72 innovation centres/clusters have been established</w:t>
      </w:r>
      <w:r w:rsidRPr="00575FE8">
        <w:rPr>
          <w:rFonts w:ascii="Times New Roman" w:hAnsi="Times New Roman" w:cs="Times New Roman"/>
          <w:sz w:val="24"/>
          <w:szCs w:val="24"/>
        </w:rPr>
        <w:t xml:space="preserve"> to link scientists and consumers</w:t>
      </w:r>
      <w:r w:rsidR="00EC2912">
        <w:rPr>
          <w:rFonts w:ascii="Times New Roman" w:hAnsi="Times New Roman" w:cs="Times New Roman"/>
          <w:sz w:val="24"/>
          <w:szCs w:val="24"/>
        </w:rPr>
        <w:t>.</w:t>
      </w:r>
      <w:r w:rsidRPr="00575FE8">
        <w:rPr>
          <w:rFonts w:ascii="Times New Roman" w:hAnsi="Times New Roman" w:cs="Times New Roman"/>
          <w:sz w:val="24"/>
          <w:szCs w:val="24"/>
        </w:rPr>
        <w:t xml:space="preserve"> The rationale behind this approach is that research results are transferred to industry as soon as the results meet the demand. NAS </w:t>
      </w:r>
      <w:r w:rsidR="00EC2912">
        <w:rPr>
          <w:rFonts w:ascii="Times New Roman" w:hAnsi="Times New Roman" w:cs="Times New Roman"/>
          <w:sz w:val="24"/>
          <w:szCs w:val="24"/>
        </w:rPr>
        <w:t>wa</w:t>
      </w:r>
      <w:r w:rsidRPr="00575FE8">
        <w:rPr>
          <w:rFonts w:ascii="Times New Roman" w:hAnsi="Times New Roman" w:cs="Times New Roman"/>
          <w:sz w:val="24"/>
          <w:szCs w:val="24"/>
        </w:rPr>
        <w:t xml:space="preserve">s </w:t>
      </w:r>
      <w:r w:rsidR="00D2754C">
        <w:rPr>
          <w:rFonts w:ascii="Times New Roman" w:hAnsi="Times New Roman" w:cs="Times New Roman"/>
          <w:sz w:val="24"/>
          <w:szCs w:val="24"/>
        </w:rPr>
        <w:t xml:space="preserve">also </w:t>
      </w:r>
      <w:r w:rsidRPr="00575FE8">
        <w:rPr>
          <w:rFonts w:ascii="Times New Roman" w:hAnsi="Times New Roman" w:cs="Times New Roman"/>
          <w:sz w:val="24"/>
          <w:szCs w:val="24"/>
        </w:rPr>
        <w:t>involved in the establishment of the new innovation and technology park “BelBiograd” (see below).</w:t>
      </w:r>
    </w:p>
    <w:p w:rsidR="00575FE8" w:rsidRPr="00575FE8" w:rsidRDefault="00575FE8" w:rsidP="00575FE8">
      <w:pPr>
        <w:spacing w:after="0" w:line="240" w:lineRule="auto"/>
        <w:jc w:val="both"/>
        <w:rPr>
          <w:rFonts w:ascii="Times New Roman" w:hAnsi="Times New Roman" w:cs="Times New Roman"/>
          <w:sz w:val="24"/>
          <w:szCs w:val="24"/>
        </w:rPr>
      </w:pPr>
    </w:p>
    <w:p w:rsid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With regard to </w:t>
      </w:r>
      <w:r w:rsidRPr="00575FE8">
        <w:rPr>
          <w:rFonts w:ascii="Times New Roman" w:hAnsi="Times New Roman" w:cs="Times New Roman"/>
          <w:i/>
          <w:sz w:val="24"/>
          <w:szCs w:val="24"/>
        </w:rPr>
        <w:t>higher education institutions, universities and facilities</w:t>
      </w:r>
      <w:r w:rsidRPr="00575FE8">
        <w:rPr>
          <w:rFonts w:ascii="Times New Roman" w:hAnsi="Times New Roman" w:cs="Times New Roman"/>
          <w:sz w:val="24"/>
          <w:szCs w:val="24"/>
        </w:rPr>
        <w:t>, recent legislative and operative changes put emphasis on strengthening industry-science linkages, for instance by supporting internships, affiliates of university chairs in companies or the creation of joint laboratories with several companies. Furthermore, researchers and student can participate in innovation competitions and can create start-up centres. Four of the seven Techno</w:t>
      </w:r>
      <w:r w:rsidR="007300BB">
        <w:rPr>
          <w:rFonts w:ascii="Times New Roman" w:hAnsi="Times New Roman" w:cs="Times New Roman"/>
          <w:sz w:val="24"/>
          <w:szCs w:val="24"/>
        </w:rPr>
        <w:t>-</w:t>
      </w:r>
      <w:r w:rsidRPr="00575FE8">
        <w:rPr>
          <w:rFonts w:ascii="Times New Roman" w:hAnsi="Times New Roman" w:cs="Times New Roman"/>
          <w:sz w:val="24"/>
          <w:szCs w:val="24"/>
        </w:rPr>
        <w:t xml:space="preserve">parks (see below) are based at universities. </w:t>
      </w:r>
    </w:p>
    <w:p w:rsidR="00EC2912" w:rsidRPr="00575FE8" w:rsidRDefault="00EC2912"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lastRenderedPageBreak/>
        <w:t xml:space="preserve">A milestone in recent legislation is that universities are allowed to establish small companies to transfer technologies to the market. The Belarusian State University (BSU) for instance has 9 unitary enterprises as separate legal entities. Furthermore, BSU – and other universities - has a number of production facilities, and also provides research results to existing enterprises and institutions in Belarus. The nine production units at BSU generated a value of 20 million USD in 2015. </w:t>
      </w:r>
      <w:r w:rsidR="00367FA8">
        <w:rPr>
          <w:rFonts w:ascii="Times New Roman" w:hAnsi="Times New Roman" w:cs="Times New Roman"/>
          <w:sz w:val="24"/>
          <w:szCs w:val="24"/>
        </w:rPr>
        <w:t xml:space="preserve">There </w:t>
      </w:r>
      <w:r w:rsidRPr="00575FE8">
        <w:rPr>
          <w:rFonts w:ascii="Times New Roman" w:hAnsi="Times New Roman" w:cs="Times New Roman"/>
          <w:sz w:val="24"/>
          <w:szCs w:val="24"/>
        </w:rPr>
        <w:t xml:space="preserve">is a central fund </w:t>
      </w:r>
      <w:r w:rsidR="00367FA8">
        <w:rPr>
          <w:rFonts w:ascii="Times New Roman" w:hAnsi="Times New Roman" w:cs="Times New Roman"/>
          <w:sz w:val="24"/>
          <w:szCs w:val="24"/>
        </w:rPr>
        <w:t>at</w:t>
      </w:r>
      <w:r w:rsidRPr="00575FE8">
        <w:rPr>
          <w:rFonts w:ascii="Times New Roman" w:hAnsi="Times New Roman" w:cs="Times New Roman"/>
          <w:sz w:val="24"/>
          <w:szCs w:val="24"/>
        </w:rPr>
        <w:t xml:space="preserve"> BSU, which is used to develop research and new production units. The budget of the fund comes from the companies in BSU`s </w:t>
      </w:r>
      <w:r w:rsidR="007300BB">
        <w:rPr>
          <w:rFonts w:ascii="Times New Roman" w:hAnsi="Times New Roman" w:cs="Times New Roman"/>
          <w:sz w:val="24"/>
          <w:szCs w:val="24"/>
        </w:rPr>
        <w:t>Techno-park</w:t>
      </w:r>
      <w:r w:rsidRPr="00575FE8">
        <w:rPr>
          <w:rFonts w:ascii="Times New Roman" w:hAnsi="Times New Roman" w:cs="Times New Roman"/>
          <w:sz w:val="24"/>
          <w:szCs w:val="24"/>
        </w:rPr>
        <w:t xml:space="preserve">. The companies do not pay rent for the premises, but allocate a share of revenues to the central fund.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Under current regulation the owner of IPR is the Ministry of Education</w:t>
      </w:r>
      <w:r w:rsidR="00EC2912">
        <w:rPr>
          <w:rFonts w:ascii="Times New Roman" w:hAnsi="Times New Roman" w:cs="Times New Roman"/>
          <w:sz w:val="24"/>
          <w:szCs w:val="24"/>
        </w:rPr>
        <w:t>,</w:t>
      </w:r>
      <w:r w:rsidRPr="00575FE8">
        <w:rPr>
          <w:rFonts w:ascii="Times New Roman" w:hAnsi="Times New Roman" w:cs="Times New Roman"/>
          <w:sz w:val="24"/>
          <w:szCs w:val="24"/>
        </w:rPr>
        <w:t xml:space="preserve"> not the university. However, in all cases the rights are transferred from the Ministry to BSU within the context of a contract agreement. Ownership stakes are divided on a 50:50 ratio between the BSU and the Ministry of Education. The Department of Protection of Intellectual Property is responsible for the management of scientific and innovative activity at BSU, providing legal protection of intellectual property, patent and licensing organization and rationalization of work, and assessment on intellectual property. However, despite some progress in the field of IP legislation in Belarus, there is still no clear-cut mechanism of sharing IP related profits between the contacting party and the developer or inventor.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367FA8" w:rsidRDefault="00575FE8" w:rsidP="00575FE8">
      <w:pPr>
        <w:spacing w:after="0" w:line="240" w:lineRule="auto"/>
        <w:jc w:val="both"/>
        <w:rPr>
          <w:rFonts w:ascii="Times New Roman" w:hAnsi="Times New Roman" w:cs="Times New Roman"/>
          <w:i/>
          <w:sz w:val="24"/>
          <w:szCs w:val="24"/>
        </w:rPr>
      </w:pPr>
      <w:r w:rsidRPr="00367FA8">
        <w:rPr>
          <w:rFonts w:ascii="Times New Roman" w:hAnsi="Times New Roman" w:cs="Times New Roman"/>
          <w:i/>
          <w:sz w:val="24"/>
          <w:szCs w:val="24"/>
        </w:rPr>
        <w:t xml:space="preserve">Innovation support institutions – the intermediary system   </w:t>
      </w:r>
    </w:p>
    <w:p w:rsidR="00575FE8" w:rsidRPr="00575FE8" w:rsidRDefault="00575FE8" w:rsidP="00575FE8">
      <w:pPr>
        <w:spacing w:after="0" w:line="240" w:lineRule="auto"/>
        <w:jc w:val="both"/>
        <w:rPr>
          <w:rFonts w:ascii="Times New Roman" w:hAnsi="Times New Roman" w:cs="Times New Roman"/>
          <w:sz w:val="24"/>
          <w:szCs w:val="24"/>
        </w:rPr>
      </w:pPr>
    </w:p>
    <w:p w:rsidR="00EC2912"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Apart from the innovation financing institutions (Innovation and Venture Funds, Development Bank) and public innovation related institutions (e.g. State Committee of Science and Technology, National Centre for Intellectual Property), Belarus over the last 5-10 years has established a complementary infrastructure to promote innovation and technology transfer. The promotion of an innovation infrastructure is – according to the State Programme on Innovation Development 2016-2020 - geared towards the realization of the innovation cycle in its entirety, from the invention to market products. </w:t>
      </w:r>
    </w:p>
    <w:p w:rsidR="00EC2912" w:rsidRDefault="00EC2912"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Regarding the Techno</w:t>
      </w:r>
      <w:r w:rsidR="003444F2">
        <w:rPr>
          <w:rFonts w:ascii="Times New Roman" w:hAnsi="Times New Roman" w:cs="Times New Roman"/>
          <w:sz w:val="24"/>
          <w:szCs w:val="24"/>
        </w:rPr>
        <w:t>-</w:t>
      </w:r>
      <w:r w:rsidRPr="00575FE8">
        <w:rPr>
          <w:rFonts w:ascii="Times New Roman" w:hAnsi="Times New Roman" w:cs="Times New Roman"/>
          <w:sz w:val="24"/>
          <w:szCs w:val="24"/>
        </w:rPr>
        <w:t>parks</w:t>
      </w:r>
      <w:r w:rsidRPr="00575FE8">
        <w:rPr>
          <w:rFonts w:ascii="Times New Roman" w:hAnsi="Times New Roman" w:cs="Times New Roman"/>
          <w:sz w:val="24"/>
          <w:szCs w:val="24"/>
          <w:vertAlign w:val="superscript"/>
        </w:rPr>
        <w:footnoteReference w:id="14"/>
      </w:r>
      <w:r w:rsidRPr="00575FE8">
        <w:rPr>
          <w:rFonts w:ascii="Times New Roman" w:hAnsi="Times New Roman" w:cs="Times New Roman"/>
          <w:sz w:val="24"/>
          <w:szCs w:val="24"/>
        </w:rPr>
        <w:t xml:space="preserve">, the </w:t>
      </w:r>
      <w:r w:rsidRPr="00575FE8">
        <w:rPr>
          <w:rFonts w:ascii="Times New Roman" w:hAnsi="Times New Roman" w:cs="Times New Roman"/>
          <w:i/>
          <w:sz w:val="24"/>
          <w:szCs w:val="24"/>
        </w:rPr>
        <w:t>High-Tech Park</w:t>
      </w:r>
      <w:r w:rsidRPr="00575FE8">
        <w:rPr>
          <w:rFonts w:ascii="Times New Roman" w:hAnsi="Times New Roman" w:cs="Times New Roman"/>
          <w:sz w:val="24"/>
          <w:szCs w:val="24"/>
        </w:rPr>
        <w:t xml:space="preserve"> in</w:t>
      </w:r>
      <w:r w:rsidR="009F37EB">
        <w:rPr>
          <w:rFonts w:ascii="Times New Roman" w:hAnsi="Times New Roman" w:cs="Times New Roman"/>
          <w:sz w:val="24"/>
          <w:szCs w:val="24"/>
        </w:rPr>
        <w:t xml:space="preserve"> Minsk</w:t>
      </w:r>
      <w:r w:rsidRPr="00575FE8">
        <w:rPr>
          <w:rFonts w:ascii="Times New Roman" w:hAnsi="Times New Roman" w:cs="Times New Roman"/>
          <w:sz w:val="24"/>
          <w:szCs w:val="24"/>
        </w:rPr>
        <w:t xml:space="preserve"> the last five years continued to grow impressively. Already a success for quite a while, several technology based enterprises have recorded impressive growth more recently on the international market.</w:t>
      </w:r>
      <w:r w:rsidR="00C7043B">
        <w:rPr>
          <w:rFonts w:ascii="Times New Roman" w:hAnsi="Times New Roman" w:cs="Times New Roman"/>
          <w:sz w:val="24"/>
          <w:szCs w:val="24"/>
        </w:rPr>
        <w:t xml:space="preserve"> Statistics can illustrate t</w:t>
      </w:r>
      <w:r w:rsidRPr="00575FE8">
        <w:rPr>
          <w:rFonts w:ascii="Times New Roman" w:hAnsi="Times New Roman" w:cs="Times New Roman"/>
          <w:sz w:val="24"/>
          <w:szCs w:val="24"/>
        </w:rPr>
        <w:t xml:space="preserve">he dynamic development of the park. Especially since 2010, </w:t>
      </w:r>
      <w:r w:rsidR="00C7043B">
        <w:rPr>
          <w:rFonts w:ascii="Times New Roman" w:hAnsi="Times New Roman" w:cs="Times New Roman"/>
          <w:sz w:val="24"/>
          <w:szCs w:val="24"/>
        </w:rPr>
        <w:t>significant</w:t>
      </w:r>
      <w:r w:rsidRPr="00575FE8">
        <w:rPr>
          <w:rFonts w:ascii="Times New Roman" w:hAnsi="Times New Roman" w:cs="Times New Roman"/>
          <w:sz w:val="24"/>
          <w:szCs w:val="24"/>
        </w:rPr>
        <w:t xml:space="preserve"> </w:t>
      </w:r>
      <w:r w:rsidR="00C7043B">
        <w:rPr>
          <w:rFonts w:ascii="Times New Roman" w:hAnsi="Times New Roman" w:cs="Times New Roman"/>
          <w:sz w:val="24"/>
          <w:szCs w:val="24"/>
        </w:rPr>
        <w:t>progress occurred</w:t>
      </w:r>
      <w:r w:rsidRPr="00575FE8">
        <w:rPr>
          <w:rFonts w:ascii="Times New Roman" w:hAnsi="Times New Roman" w:cs="Times New Roman"/>
          <w:sz w:val="24"/>
          <w:szCs w:val="24"/>
        </w:rPr>
        <w:t xml:space="preserve">: sales have nearly quadrupled, the export sales show an even more dynamic development. Currently, the total number of employees amounts to 24.037, which is more than twice as much as in 2010.    </w:t>
      </w:r>
    </w:p>
    <w:p w:rsidR="00575FE8" w:rsidRPr="00575FE8" w:rsidRDefault="00575FE8" w:rsidP="00575FE8">
      <w:pPr>
        <w:spacing w:after="0" w:line="240" w:lineRule="auto"/>
        <w:jc w:val="both"/>
        <w:rPr>
          <w:rFonts w:ascii="Arial" w:eastAsia="Times New Roman" w:hAnsi="Arial" w:cs="Times New Roman"/>
        </w:rPr>
      </w:pPr>
    </w:p>
    <w:p w:rsidR="00575FE8" w:rsidRPr="00575FE8" w:rsidRDefault="00575FE8" w:rsidP="00575FE8">
      <w:pPr>
        <w:widowControl w:val="0"/>
        <w:spacing w:after="80" w:line="240" w:lineRule="atLeast"/>
        <w:ind w:left="1418" w:right="23" w:hanging="1418"/>
        <w:jc w:val="both"/>
        <w:rPr>
          <w:rFonts w:ascii="Times New Roman" w:hAnsi="Times New Roman" w:cs="Times New Roman"/>
          <w:sz w:val="24"/>
          <w:szCs w:val="24"/>
          <w:lang w:val="en-US"/>
        </w:rPr>
      </w:pPr>
      <w:r w:rsidRPr="00C7043B">
        <w:rPr>
          <w:rFonts w:ascii="Times New Roman" w:hAnsi="Times New Roman" w:cs="Times New Roman"/>
          <w:sz w:val="24"/>
          <w:szCs w:val="24"/>
          <w:highlight w:val="yellow"/>
          <w:lang w:val="en-US"/>
        </w:rPr>
        <w:t>Table X</w:t>
      </w:r>
      <w:r w:rsidRPr="00575FE8">
        <w:rPr>
          <w:rFonts w:ascii="Times New Roman" w:hAnsi="Times New Roman" w:cs="Times New Roman"/>
          <w:sz w:val="24"/>
          <w:szCs w:val="24"/>
          <w:lang w:val="en-US"/>
        </w:rPr>
        <w:t xml:space="preserve">: </w:t>
      </w:r>
      <w:r w:rsidRPr="00575FE8">
        <w:rPr>
          <w:rFonts w:ascii="Times New Roman" w:hAnsi="Times New Roman" w:cs="Times New Roman"/>
          <w:sz w:val="24"/>
          <w:szCs w:val="24"/>
          <w:lang w:val="en-US"/>
        </w:rPr>
        <w:tab/>
        <w:t xml:space="preserve">Development of the High-Tech Park of Belarus: Some Basic Figures     </w:t>
      </w:r>
    </w:p>
    <w:tbl>
      <w:tblPr>
        <w:tblStyle w:val="TableGrid6"/>
        <w:tblW w:w="8364" w:type="dxa"/>
        <w:tblInd w:w="108" w:type="dxa"/>
        <w:tblLook w:val="04A0" w:firstRow="1" w:lastRow="0" w:firstColumn="1" w:lastColumn="0" w:noHBand="0" w:noVBand="1"/>
      </w:tblPr>
      <w:tblGrid>
        <w:gridCol w:w="3686"/>
        <w:gridCol w:w="1559"/>
        <w:gridCol w:w="1559"/>
        <w:gridCol w:w="1560"/>
      </w:tblGrid>
      <w:tr w:rsidR="00575FE8" w:rsidRPr="00575FE8" w:rsidTr="00575FE8">
        <w:tc>
          <w:tcPr>
            <w:tcW w:w="3686" w:type="dxa"/>
          </w:tcPr>
          <w:p w:rsidR="00575FE8" w:rsidRPr="00575FE8" w:rsidRDefault="00575FE8" w:rsidP="00575FE8">
            <w:pPr>
              <w:widowControl w:val="0"/>
              <w:spacing w:line="341" w:lineRule="exact"/>
              <w:ind w:right="20"/>
              <w:jc w:val="center"/>
              <w:rPr>
                <w:lang w:val="en-US"/>
              </w:rPr>
            </w:pPr>
          </w:p>
        </w:tc>
        <w:tc>
          <w:tcPr>
            <w:tcW w:w="1559" w:type="dxa"/>
          </w:tcPr>
          <w:p w:rsidR="00575FE8" w:rsidRPr="00575FE8" w:rsidRDefault="00575FE8" w:rsidP="00575FE8">
            <w:pPr>
              <w:widowControl w:val="0"/>
              <w:spacing w:line="341" w:lineRule="exact"/>
              <w:ind w:right="20"/>
              <w:jc w:val="center"/>
              <w:rPr>
                <w:lang w:val="en-US"/>
              </w:rPr>
            </w:pPr>
            <w:r w:rsidRPr="00575FE8">
              <w:rPr>
                <w:lang w:val="en-US"/>
              </w:rPr>
              <w:t>2006</w:t>
            </w:r>
          </w:p>
        </w:tc>
        <w:tc>
          <w:tcPr>
            <w:tcW w:w="1559" w:type="dxa"/>
          </w:tcPr>
          <w:p w:rsidR="00575FE8" w:rsidRPr="00575FE8" w:rsidRDefault="00575FE8" w:rsidP="00575FE8">
            <w:pPr>
              <w:widowControl w:val="0"/>
              <w:spacing w:line="341" w:lineRule="exact"/>
              <w:ind w:right="20"/>
              <w:jc w:val="center"/>
              <w:rPr>
                <w:lang w:val="en-US"/>
              </w:rPr>
            </w:pPr>
            <w:r w:rsidRPr="00575FE8">
              <w:rPr>
                <w:lang w:val="en-US"/>
              </w:rPr>
              <w:t>2010</w:t>
            </w:r>
          </w:p>
        </w:tc>
        <w:tc>
          <w:tcPr>
            <w:tcW w:w="1560" w:type="dxa"/>
          </w:tcPr>
          <w:p w:rsidR="00575FE8" w:rsidRPr="00575FE8" w:rsidRDefault="00575FE8" w:rsidP="00575FE8">
            <w:pPr>
              <w:widowControl w:val="0"/>
              <w:spacing w:line="341" w:lineRule="exact"/>
              <w:ind w:right="20"/>
              <w:jc w:val="center"/>
              <w:rPr>
                <w:lang w:val="en-US"/>
              </w:rPr>
            </w:pPr>
            <w:r w:rsidRPr="00575FE8">
              <w:rPr>
                <w:lang w:val="en-US"/>
              </w:rPr>
              <w:t>2015</w:t>
            </w:r>
          </w:p>
        </w:tc>
      </w:tr>
      <w:tr w:rsidR="00575FE8" w:rsidRPr="00575FE8" w:rsidTr="00575FE8">
        <w:tc>
          <w:tcPr>
            <w:tcW w:w="3686" w:type="dxa"/>
          </w:tcPr>
          <w:p w:rsidR="00575FE8" w:rsidRPr="00472493" w:rsidRDefault="00575FE8" w:rsidP="00575FE8">
            <w:pPr>
              <w:widowControl w:val="0"/>
              <w:spacing w:line="341" w:lineRule="exact"/>
              <w:ind w:left="34" w:right="20"/>
              <w:rPr>
                <w:sz w:val="20"/>
                <w:szCs w:val="20"/>
                <w:lang w:val="en-US"/>
              </w:rPr>
            </w:pPr>
            <w:r w:rsidRPr="00472493">
              <w:rPr>
                <w:sz w:val="20"/>
                <w:szCs w:val="20"/>
                <w:lang w:val="en-US"/>
              </w:rPr>
              <w:t xml:space="preserve">Sales (in 1.000 USD, current prices) </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28148</w:t>
            </w:r>
            <w:r w:rsidR="009B57C2">
              <w:rPr>
                <w:sz w:val="20"/>
                <w:szCs w:val="20"/>
                <w:lang w:val="en-US"/>
              </w:rPr>
              <w:t>.</w:t>
            </w:r>
            <w:r w:rsidRPr="00472493">
              <w:rPr>
                <w:sz w:val="20"/>
                <w:szCs w:val="20"/>
                <w:lang w:val="en-US"/>
              </w:rPr>
              <w:t>3</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197940</w:t>
            </w:r>
            <w:r w:rsidR="009B57C2">
              <w:rPr>
                <w:sz w:val="20"/>
                <w:szCs w:val="20"/>
                <w:lang w:val="en-US"/>
              </w:rPr>
              <w:t>.</w:t>
            </w:r>
            <w:r w:rsidRPr="00472493">
              <w:rPr>
                <w:sz w:val="20"/>
                <w:szCs w:val="20"/>
                <w:lang w:val="en-US"/>
              </w:rPr>
              <w:t>9</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792913</w:t>
            </w:r>
            <w:r w:rsidR="009B57C2">
              <w:rPr>
                <w:sz w:val="20"/>
                <w:szCs w:val="20"/>
                <w:lang w:val="en-US"/>
              </w:rPr>
              <w:t>.</w:t>
            </w:r>
            <w:r w:rsidRPr="00472493">
              <w:rPr>
                <w:sz w:val="20"/>
                <w:szCs w:val="20"/>
                <w:lang w:val="en-US"/>
              </w:rPr>
              <w:t>1</w:t>
            </w:r>
          </w:p>
        </w:tc>
      </w:tr>
      <w:tr w:rsidR="00575FE8" w:rsidRPr="00575FE8" w:rsidTr="00575FE8">
        <w:tc>
          <w:tcPr>
            <w:tcW w:w="3686" w:type="dxa"/>
          </w:tcPr>
          <w:p w:rsidR="00575FE8" w:rsidRPr="00472493" w:rsidRDefault="00575FE8" w:rsidP="00575FE8">
            <w:pPr>
              <w:widowControl w:val="0"/>
              <w:spacing w:line="341" w:lineRule="exact"/>
              <w:ind w:left="34" w:right="20"/>
              <w:rPr>
                <w:sz w:val="20"/>
                <w:szCs w:val="20"/>
                <w:lang w:val="en-US"/>
              </w:rPr>
            </w:pPr>
            <w:r w:rsidRPr="00472493">
              <w:rPr>
                <w:sz w:val="20"/>
                <w:szCs w:val="20"/>
                <w:lang w:val="en-US"/>
              </w:rPr>
              <w:t>Export Sales (in 1.000 USD)</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21859</w:t>
            </w:r>
            <w:r w:rsidR="009B57C2">
              <w:rPr>
                <w:sz w:val="20"/>
                <w:szCs w:val="20"/>
                <w:lang w:val="en-US"/>
              </w:rPr>
              <w:t>.</w:t>
            </w:r>
            <w:r w:rsidRPr="00472493">
              <w:rPr>
                <w:sz w:val="20"/>
                <w:szCs w:val="20"/>
                <w:lang w:val="en-US"/>
              </w:rPr>
              <w:t>0</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161007</w:t>
            </w:r>
            <w:r w:rsidR="009B57C2">
              <w:rPr>
                <w:sz w:val="20"/>
                <w:szCs w:val="20"/>
                <w:lang w:val="en-US"/>
              </w:rPr>
              <w:t>.</w:t>
            </w:r>
            <w:r w:rsidRPr="00472493">
              <w:rPr>
                <w:sz w:val="20"/>
                <w:szCs w:val="20"/>
                <w:lang w:val="en-US"/>
              </w:rPr>
              <w:t>4</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705630</w:t>
            </w:r>
            <w:r w:rsidR="009B57C2">
              <w:rPr>
                <w:sz w:val="20"/>
                <w:szCs w:val="20"/>
                <w:lang w:val="en-US"/>
              </w:rPr>
              <w:t>.</w:t>
            </w:r>
            <w:r w:rsidRPr="00472493">
              <w:rPr>
                <w:sz w:val="20"/>
                <w:szCs w:val="20"/>
                <w:lang w:val="en-US"/>
              </w:rPr>
              <w:t>4</w:t>
            </w:r>
          </w:p>
        </w:tc>
      </w:tr>
      <w:tr w:rsidR="00575FE8" w:rsidRPr="00575FE8" w:rsidTr="00575FE8">
        <w:tc>
          <w:tcPr>
            <w:tcW w:w="3686" w:type="dxa"/>
          </w:tcPr>
          <w:p w:rsidR="00575FE8" w:rsidRPr="00472493" w:rsidRDefault="00575FE8" w:rsidP="00575FE8">
            <w:pPr>
              <w:widowControl w:val="0"/>
              <w:spacing w:line="341" w:lineRule="exact"/>
              <w:ind w:left="34" w:right="20"/>
              <w:rPr>
                <w:sz w:val="20"/>
                <w:szCs w:val="20"/>
                <w:lang w:val="en-US"/>
              </w:rPr>
            </w:pPr>
            <w:r w:rsidRPr="00472493">
              <w:rPr>
                <w:sz w:val="20"/>
                <w:szCs w:val="20"/>
                <w:lang w:val="en-US"/>
              </w:rPr>
              <w:t>Domestic sales (in 1.000 USD)</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6378</w:t>
            </w:r>
            <w:r w:rsidR="009B57C2">
              <w:rPr>
                <w:sz w:val="20"/>
                <w:szCs w:val="20"/>
                <w:lang w:val="en-US"/>
              </w:rPr>
              <w:t>.</w:t>
            </w:r>
            <w:r w:rsidRPr="00472493">
              <w:rPr>
                <w:sz w:val="20"/>
                <w:szCs w:val="20"/>
                <w:lang w:val="en-US"/>
              </w:rPr>
              <w:t>9</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35823</w:t>
            </w:r>
            <w:r w:rsidR="009B57C2">
              <w:rPr>
                <w:sz w:val="20"/>
                <w:szCs w:val="20"/>
                <w:lang w:val="en-US"/>
              </w:rPr>
              <w:t>.</w:t>
            </w:r>
            <w:r w:rsidRPr="00472493">
              <w:rPr>
                <w:sz w:val="20"/>
                <w:szCs w:val="20"/>
                <w:lang w:val="en-US"/>
              </w:rPr>
              <w:t>2</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67433</w:t>
            </w:r>
            <w:r w:rsidR="009B57C2">
              <w:rPr>
                <w:sz w:val="20"/>
                <w:szCs w:val="20"/>
                <w:lang w:val="en-US"/>
              </w:rPr>
              <w:t>.</w:t>
            </w:r>
            <w:r w:rsidRPr="00472493">
              <w:rPr>
                <w:sz w:val="20"/>
                <w:szCs w:val="20"/>
                <w:lang w:val="en-US"/>
              </w:rPr>
              <w:t>3</w:t>
            </w:r>
          </w:p>
        </w:tc>
      </w:tr>
      <w:tr w:rsidR="00575FE8" w:rsidRPr="00575FE8" w:rsidTr="00575FE8">
        <w:tc>
          <w:tcPr>
            <w:tcW w:w="3686" w:type="dxa"/>
          </w:tcPr>
          <w:p w:rsidR="00575FE8" w:rsidRPr="00472493" w:rsidRDefault="00575FE8" w:rsidP="00575FE8">
            <w:pPr>
              <w:widowControl w:val="0"/>
              <w:spacing w:line="341" w:lineRule="exact"/>
              <w:ind w:left="34" w:right="23"/>
              <w:rPr>
                <w:sz w:val="20"/>
                <w:szCs w:val="20"/>
                <w:lang w:val="en-US"/>
              </w:rPr>
            </w:pPr>
            <w:r w:rsidRPr="00472493">
              <w:rPr>
                <w:sz w:val="20"/>
                <w:szCs w:val="20"/>
                <w:lang w:val="en-US"/>
              </w:rPr>
              <w:t xml:space="preserve">Imports (in 1.000 USD) </w:t>
            </w:r>
          </w:p>
        </w:tc>
        <w:tc>
          <w:tcPr>
            <w:tcW w:w="1559" w:type="dxa"/>
          </w:tcPr>
          <w:p w:rsidR="00575FE8" w:rsidRPr="00472493" w:rsidRDefault="009B57C2" w:rsidP="00575FE8">
            <w:pPr>
              <w:widowControl w:val="0"/>
              <w:spacing w:line="341" w:lineRule="exact"/>
              <w:ind w:right="20"/>
              <w:jc w:val="center"/>
              <w:rPr>
                <w:sz w:val="20"/>
                <w:szCs w:val="20"/>
                <w:lang w:val="en-US"/>
              </w:rPr>
            </w:pPr>
            <w:r>
              <w:rPr>
                <w:sz w:val="20"/>
                <w:szCs w:val="20"/>
                <w:lang w:val="en-US"/>
              </w:rPr>
              <w:t>299.</w:t>
            </w:r>
            <w:r w:rsidR="00575FE8" w:rsidRPr="00472493">
              <w:rPr>
                <w:sz w:val="20"/>
                <w:szCs w:val="20"/>
                <w:lang w:val="en-US"/>
              </w:rPr>
              <w:t>8 (2007)</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801</w:t>
            </w:r>
            <w:r w:rsidR="009B57C2">
              <w:rPr>
                <w:sz w:val="20"/>
                <w:szCs w:val="20"/>
                <w:lang w:val="en-US"/>
              </w:rPr>
              <w:t>.</w:t>
            </w:r>
            <w:r w:rsidRPr="00472493">
              <w:rPr>
                <w:sz w:val="20"/>
                <w:szCs w:val="20"/>
                <w:lang w:val="en-US"/>
              </w:rPr>
              <w:t>7</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3325</w:t>
            </w:r>
          </w:p>
        </w:tc>
      </w:tr>
      <w:tr w:rsidR="00575FE8" w:rsidRPr="00575FE8" w:rsidTr="00575FE8">
        <w:tc>
          <w:tcPr>
            <w:tcW w:w="3686" w:type="dxa"/>
          </w:tcPr>
          <w:p w:rsidR="00575FE8" w:rsidRPr="00472493" w:rsidRDefault="00575FE8" w:rsidP="00575FE8">
            <w:pPr>
              <w:widowControl w:val="0"/>
              <w:spacing w:before="60" w:line="240" w:lineRule="atLeast"/>
              <w:ind w:left="34" w:right="23"/>
              <w:rPr>
                <w:sz w:val="20"/>
                <w:szCs w:val="20"/>
                <w:lang w:val="en-US"/>
              </w:rPr>
            </w:pPr>
            <w:r w:rsidRPr="00472493">
              <w:rPr>
                <w:sz w:val="20"/>
                <w:szCs w:val="20"/>
                <w:lang w:val="en-US"/>
              </w:rPr>
              <w:lastRenderedPageBreak/>
              <w:t>Total number of employees (Head Count)</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2506</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9421</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24037</w:t>
            </w:r>
          </w:p>
        </w:tc>
      </w:tr>
      <w:tr w:rsidR="00575FE8" w:rsidRPr="00575FE8" w:rsidTr="00575FE8">
        <w:tc>
          <w:tcPr>
            <w:tcW w:w="3686" w:type="dxa"/>
          </w:tcPr>
          <w:p w:rsidR="00575FE8" w:rsidRPr="00472493" w:rsidRDefault="00575FE8" w:rsidP="00575FE8">
            <w:pPr>
              <w:widowControl w:val="0"/>
              <w:spacing w:before="60" w:line="240" w:lineRule="atLeast"/>
              <w:ind w:left="34" w:right="23"/>
              <w:rPr>
                <w:sz w:val="20"/>
                <w:szCs w:val="20"/>
                <w:lang w:val="en-US"/>
              </w:rPr>
            </w:pPr>
            <w:r w:rsidRPr="00472493">
              <w:rPr>
                <w:sz w:val="20"/>
                <w:szCs w:val="20"/>
                <w:lang w:val="en-US"/>
              </w:rPr>
              <w:t xml:space="preserve">Number of new employees (Head Count </w:t>
            </w:r>
          </w:p>
        </w:tc>
        <w:tc>
          <w:tcPr>
            <w:tcW w:w="1559" w:type="dxa"/>
          </w:tcPr>
          <w:p w:rsidR="00575FE8" w:rsidRPr="00472493" w:rsidRDefault="00575FE8" w:rsidP="00575FE8">
            <w:pPr>
              <w:widowControl w:val="0"/>
              <w:spacing w:line="341" w:lineRule="exact"/>
              <w:ind w:right="20"/>
              <w:jc w:val="center"/>
              <w:rPr>
                <w:sz w:val="20"/>
                <w:szCs w:val="20"/>
                <w:lang w:val="en-US"/>
              </w:rPr>
            </w:pPr>
            <w:r w:rsidRPr="00472493">
              <w:rPr>
                <w:sz w:val="20"/>
                <w:szCs w:val="20"/>
                <w:lang w:val="en-US"/>
              </w:rPr>
              <w:t>795</w:t>
            </w:r>
          </w:p>
        </w:tc>
        <w:tc>
          <w:tcPr>
            <w:tcW w:w="1559"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1577</w:t>
            </w:r>
          </w:p>
        </w:tc>
        <w:tc>
          <w:tcPr>
            <w:tcW w:w="1560" w:type="dxa"/>
          </w:tcPr>
          <w:p w:rsidR="00575FE8" w:rsidRPr="00472493" w:rsidRDefault="00575FE8" w:rsidP="009B57C2">
            <w:pPr>
              <w:widowControl w:val="0"/>
              <w:spacing w:line="341" w:lineRule="exact"/>
              <w:ind w:right="20"/>
              <w:jc w:val="center"/>
              <w:rPr>
                <w:sz w:val="20"/>
                <w:szCs w:val="20"/>
                <w:lang w:val="en-US"/>
              </w:rPr>
            </w:pPr>
            <w:r w:rsidRPr="00472493">
              <w:rPr>
                <w:sz w:val="20"/>
                <w:szCs w:val="20"/>
                <w:lang w:val="en-US"/>
              </w:rPr>
              <w:t>3042</w:t>
            </w:r>
          </w:p>
        </w:tc>
      </w:tr>
    </w:tbl>
    <w:p w:rsidR="00575FE8" w:rsidRPr="00575FE8" w:rsidRDefault="00575FE8" w:rsidP="00575FE8">
      <w:pPr>
        <w:widowControl w:val="0"/>
        <w:spacing w:before="60" w:after="0" w:line="240" w:lineRule="auto"/>
        <w:ind w:left="23" w:right="23" w:hanging="23"/>
        <w:jc w:val="both"/>
        <w:rPr>
          <w:rFonts w:ascii="Times New Roman" w:hAnsi="Times New Roman" w:cs="Times New Roman"/>
          <w:sz w:val="20"/>
          <w:szCs w:val="20"/>
          <w:lang w:val="en-US"/>
        </w:rPr>
      </w:pPr>
      <w:r w:rsidRPr="00575FE8">
        <w:rPr>
          <w:rFonts w:ascii="Times New Roman" w:hAnsi="Times New Roman" w:cs="Times New Roman"/>
          <w:sz w:val="20"/>
          <w:szCs w:val="20"/>
          <w:lang w:val="en-US"/>
        </w:rPr>
        <w:t xml:space="preserve">Source: Belarus High-Tech Park </w:t>
      </w:r>
    </w:p>
    <w:p w:rsidR="00575FE8" w:rsidRPr="00575FE8" w:rsidRDefault="00575FE8" w:rsidP="00575FE8">
      <w:pPr>
        <w:widowControl w:val="0"/>
        <w:spacing w:before="60" w:after="0" w:line="240" w:lineRule="auto"/>
        <w:ind w:left="23" w:right="23" w:hanging="23"/>
        <w:jc w:val="both"/>
        <w:rPr>
          <w:rFonts w:ascii="Times New Roman" w:hAnsi="Times New Roman" w:cs="Times New Roman"/>
          <w:sz w:val="20"/>
          <w:szCs w:val="20"/>
          <w:lang w:val="en-US"/>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A new initiative within the High-Tech Park is the foundation of a modern </w:t>
      </w:r>
      <w:r w:rsidRPr="00575FE8">
        <w:rPr>
          <w:rFonts w:ascii="Times New Roman" w:hAnsi="Times New Roman" w:cs="Times New Roman"/>
          <w:i/>
          <w:sz w:val="24"/>
          <w:szCs w:val="24"/>
        </w:rPr>
        <w:t>incubator</w:t>
      </w:r>
      <w:r w:rsidRPr="00575FE8">
        <w:rPr>
          <w:rFonts w:ascii="Times New Roman" w:hAnsi="Times New Roman" w:cs="Times New Roman"/>
          <w:sz w:val="24"/>
          <w:szCs w:val="24"/>
        </w:rPr>
        <w:t xml:space="preserve">, which offers support services for companies in their pre-seed or seed-phase. The innovation support services performed by the incubator/High-Tech Park include pre-incubation, hackathons, matchmaking in early stage fund-raising (e.g. provision of informal venture capital by business angles), trainings regarding IP issues, taxation, business planning, basics of marketing and promotion. In 2015, the incubator started a programme to launch business ideas. Form 100 ideas 7 promising projects have been selected, which became residents of the incubator. </w:t>
      </w:r>
    </w:p>
    <w:p w:rsidR="00575FE8" w:rsidRPr="00575FE8" w:rsidRDefault="00575FE8"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Regarding regulation, no changes have been conducted by the Government</w:t>
      </w:r>
      <w:r w:rsidR="00753674">
        <w:rPr>
          <w:rFonts w:ascii="Times New Roman" w:hAnsi="Times New Roman" w:cs="Times New Roman"/>
          <w:sz w:val="24"/>
          <w:szCs w:val="24"/>
        </w:rPr>
        <w:t xml:space="preserve"> since 2010.</w:t>
      </w:r>
      <w:r w:rsidRPr="00575FE8">
        <w:rPr>
          <w:rFonts w:ascii="Times New Roman" w:hAnsi="Times New Roman" w:cs="Times New Roman"/>
          <w:sz w:val="24"/>
          <w:szCs w:val="24"/>
        </w:rPr>
        <w:t xml:space="preserve"> The idea to </w:t>
      </w:r>
      <w:r w:rsidR="00753674">
        <w:rPr>
          <w:rFonts w:ascii="Times New Roman" w:hAnsi="Times New Roman" w:cs="Times New Roman"/>
          <w:sz w:val="24"/>
          <w:szCs w:val="24"/>
        </w:rPr>
        <w:t>expand the</w:t>
      </w:r>
      <w:r w:rsidRPr="00575FE8">
        <w:rPr>
          <w:rFonts w:ascii="Times New Roman" w:hAnsi="Times New Roman" w:cs="Times New Roman"/>
          <w:sz w:val="24"/>
          <w:szCs w:val="24"/>
        </w:rPr>
        <w:t xml:space="preserve"> Park </w:t>
      </w:r>
      <w:r w:rsidR="00753674">
        <w:rPr>
          <w:rFonts w:ascii="Times New Roman" w:hAnsi="Times New Roman" w:cs="Times New Roman"/>
          <w:sz w:val="24"/>
          <w:szCs w:val="24"/>
        </w:rPr>
        <w:t>to include</w:t>
      </w:r>
      <w:r w:rsidRPr="00575FE8">
        <w:rPr>
          <w:rFonts w:ascii="Times New Roman" w:hAnsi="Times New Roman" w:cs="Times New Roman"/>
          <w:sz w:val="24"/>
          <w:szCs w:val="24"/>
        </w:rPr>
        <w:t xml:space="preserve"> other technologies like nanotechnology, medicine technology, biotechnology</w:t>
      </w:r>
      <w:r w:rsidR="00753674">
        <w:rPr>
          <w:rFonts w:ascii="Times New Roman" w:hAnsi="Times New Roman" w:cs="Times New Roman"/>
          <w:sz w:val="24"/>
          <w:szCs w:val="24"/>
        </w:rPr>
        <w:t>,</w:t>
      </w:r>
      <w:r w:rsidRPr="00575FE8">
        <w:rPr>
          <w:rFonts w:ascii="Times New Roman" w:hAnsi="Times New Roman" w:cs="Times New Roman"/>
          <w:sz w:val="24"/>
          <w:szCs w:val="24"/>
        </w:rPr>
        <w:t xml:space="preserve"> </w:t>
      </w:r>
      <w:r w:rsidR="00753674">
        <w:rPr>
          <w:rFonts w:ascii="Times New Roman" w:hAnsi="Times New Roman" w:cs="Times New Roman"/>
          <w:sz w:val="24"/>
          <w:szCs w:val="24"/>
        </w:rPr>
        <w:t xml:space="preserve">was, however, </w:t>
      </w:r>
      <w:r w:rsidRPr="00575FE8">
        <w:rPr>
          <w:rFonts w:ascii="Times New Roman" w:hAnsi="Times New Roman" w:cs="Times New Roman"/>
          <w:sz w:val="24"/>
          <w:szCs w:val="24"/>
        </w:rPr>
        <w:t xml:space="preserve">replaced by the alternative to set-up a separate organisation in these fields. The National Science and Technology Park “BelBiograd” is one such example.   </w:t>
      </w:r>
    </w:p>
    <w:p w:rsidR="00575FE8" w:rsidRPr="00575FE8" w:rsidRDefault="00575FE8" w:rsidP="00575FE8">
      <w:pPr>
        <w:spacing w:after="0" w:line="240" w:lineRule="auto"/>
        <w:jc w:val="both"/>
        <w:rPr>
          <w:rFonts w:ascii="Times New Roman" w:hAnsi="Times New Roman" w:cs="Times New Roman"/>
          <w:sz w:val="24"/>
          <w:szCs w:val="24"/>
        </w:rPr>
      </w:pPr>
    </w:p>
    <w:p w:rsidR="00497F92" w:rsidRDefault="00575FE8" w:rsidP="00575FE8">
      <w:pPr>
        <w:spacing w:after="0" w:line="240" w:lineRule="auto"/>
        <w:jc w:val="both"/>
        <w:rPr>
          <w:rFonts w:ascii="Times New Roman" w:hAnsi="Times New Roman" w:cs="Times New Roman"/>
          <w:sz w:val="24"/>
          <w:szCs w:val="24"/>
        </w:rPr>
      </w:pPr>
      <w:r w:rsidRPr="00575FE8">
        <w:rPr>
          <w:rFonts w:ascii="Times New Roman" w:eastAsia="Times New Roman" w:hAnsi="Times New Roman" w:cs="Times New Roman"/>
          <w:sz w:val="24"/>
          <w:szCs w:val="24"/>
        </w:rPr>
        <w:t xml:space="preserve">On the basis of the experience with the High-Tech Park, plans have been developed to establish a second, similar Park with a focus on biotechnology at the National Academy of Sciences. The </w:t>
      </w:r>
      <w:r w:rsidRPr="00575FE8">
        <w:rPr>
          <w:rFonts w:ascii="Times New Roman" w:hAnsi="Times New Roman" w:cs="Times New Roman"/>
          <w:sz w:val="24"/>
          <w:szCs w:val="24"/>
        </w:rPr>
        <w:t xml:space="preserve">planned </w:t>
      </w:r>
      <w:r w:rsidRPr="00575FE8">
        <w:rPr>
          <w:rFonts w:ascii="Times New Roman" w:eastAsia="Times New Roman" w:hAnsi="Times New Roman" w:cs="Times New Roman"/>
          <w:i/>
          <w:sz w:val="24"/>
          <w:szCs w:val="24"/>
        </w:rPr>
        <w:t>National Science and Technology Park “BelBiograd”</w:t>
      </w:r>
      <w:r w:rsidRPr="00575FE8">
        <w:rPr>
          <w:rFonts w:ascii="Times New Roman" w:eastAsia="Times New Roman" w:hAnsi="Times New Roman" w:cs="Times New Roman"/>
          <w:sz w:val="24"/>
          <w:szCs w:val="24"/>
        </w:rPr>
        <w:t xml:space="preserve"> will be founded using the same principles than the High-Tech Park.  </w:t>
      </w:r>
      <w:r w:rsidRPr="00575FE8">
        <w:rPr>
          <w:rFonts w:ascii="Times New Roman" w:hAnsi="Times New Roman" w:cs="Times New Roman"/>
          <w:sz w:val="24"/>
          <w:szCs w:val="24"/>
        </w:rPr>
        <w:t>The objective is to create favourable conditions for the rapid development and high competitiveness of the biotechnology, pharmaceutical and nanotechnology industries, to attract investment for the commercialization of research and development results</w:t>
      </w:r>
      <w:r w:rsidR="00497F92">
        <w:rPr>
          <w:rFonts w:ascii="Times New Roman" w:hAnsi="Times New Roman" w:cs="Times New Roman"/>
          <w:sz w:val="24"/>
          <w:szCs w:val="24"/>
        </w:rPr>
        <w:t xml:space="preserve"> and</w:t>
      </w:r>
      <w:r w:rsidRPr="00575FE8">
        <w:rPr>
          <w:rFonts w:ascii="Times New Roman" w:hAnsi="Times New Roman" w:cs="Times New Roman"/>
          <w:sz w:val="24"/>
          <w:szCs w:val="24"/>
        </w:rPr>
        <w:t xml:space="preserve"> to introduce high technologies and production of innovative products. The target group of the park will be companies which carry out fundamental and applied research, experimental design, research and technology, experimental development, design, implementation and development of high technologies aimed at the production of innovative products, materials and equipment. </w:t>
      </w:r>
      <w:r w:rsidR="00497F92" w:rsidRPr="00497F92">
        <w:rPr>
          <w:rFonts w:ascii="Times New Roman" w:hAnsi="Times New Roman" w:cs="Times New Roman"/>
          <w:sz w:val="24"/>
          <w:szCs w:val="24"/>
        </w:rPr>
        <w:t>Like the High-Tech Park, BelBiograd will be endowed with an incubator for small businesses</w:t>
      </w:r>
      <w:r w:rsidR="00497F92">
        <w:rPr>
          <w:rFonts w:ascii="Times New Roman" w:hAnsi="Times New Roman" w:cs="Times New Roman"/>
          <w:sz w:val="24"/>
          <w:szCs w:val="24"/>
        </w:rPr>
        <w:t>.</w:t>
      </w:r>
    </w:p>
    <w:p w:rsidR="00575FE8" w:rsidRPr="00575FE8" w:rsidRDefault="00575FE8" w:rsidP="00575FE8">
      <w:pPr>
        <w:spacing w:after="0" w:line="240" w:lineRule="auto"/>
        <w:jc w:val="both"/>
        <w:rPr>
          <w:rFonts w:ascii="Times New Roman" w:hAnsi="Times New Roman" w:cs="Times New Roman"/>
          <w:sz w:val="24"/>
          <w:szCs w:val="24"/>
        </w:rPr>
      </w:pPr>
    </w:p>
    <w:p w:rsidR="00575FE8" w:rsidRDefault="00575FE8" w:rsidP="00BF6529">
      <w:pPr>
        <w:spacing w:after="0" w:line="240" w:lineRule="auto"/>
        <w:jc w:val="both"/>
        <w:rPr>
          <w:rFonts w:ascii="Times New Roman" w:hAnsi="Times New Roman" w:cs="Times New Roman"/>
          <w:sz w:val="24"/>
          <w:szCs w:val="24"/>
        </w:rPr>
      </w:pPr>
      <w:r w:rsidRPr="00575FE8">
        <w:rPr>
          <w:rFonts w:ascii="Times New Roman" w:eastAsia="Times New Roman" w:hAnsi="Times New Roman" w:cs="Times New Roman"/>
          <w:sz w:val="24"/>
          <w:szCs w:val="24"/>
        </w:rPr>
        <w:t>Another main organisation within the intermediary system of Belarus is</w:t>
      </w:r>
      <w:r w:rsidRPr="00575FE8">
        <w:rPr>
          <w:rFonts w:ascii="Times New Roman" w:eastAsia="Times New Roman" w:hAnsi="Times New Roman" w:cs="Times New Roman"/>
          <w:b/>
          <w:i/>
          <w:sz w:val="24"/>
          <w:szCs w:val="24"/>
        </w:rPr>
        <w:t xml:space="preserve"> </w:t>
      </w:r>
      <w:r w:rsidRPr="00575FE8">
        <w:rPr>
          <w:rFonts w:ascii="Times New Roman" w:eastAsia="Times New Roman" w:hAnsi="Times New Roman" w:cs="Times New Roman"/>
          <w:i/>
          <w:sz w:val="24"/>
          <w:szCs w:val="24"/>
        </w:rPr>
        <w:t>the Republican Centre for Technology Transfer (RCTT),</w:t>
      </w:r>
      <w:r w:rsidRPr="00575FE8">
        <w:rPr>
          <w:rFonts w:ascii="Times New Roman" w:eastAsia="Times New Roman" w:hAnsi="Times New Roman" w:cs="Times New Roman"/>
          <w:b/>
          <w:i/>
          <w:sz w:val="24"/>
          <w:szCs w:val="24"/>
        </w:rPr>
        <w:t xml:space="preserve"> </w:t>
      </w:r>
      <w:r w:rsidRPr="00575FE8">
        <w:rPr>
          <w:rFonts w:ascii="Times New Roman" w:eastAsia="Times New Roman" w:hAnsi="Times New Roman" w:cs="Times New Roman"/>
          <w:sz w:val="24"/>
          <w:szCs w:val="24"/>
        </w:rPr>
        <w:t xml:space="preserve">which has already been founded in 2003 </w:t>
      </w:r>
      <w:r w:rsidRPr="00575FE8">
        <w:rPr>
          <w:rFonts w:ascii="Times New Roman" w:hAnsi="Times New Roman" w:cs="Times New Roman"/>
          <w:sz w:val="24"/>
          <w:szCs w:val="24"/>
        </w:rPr>
        <w:t>under the auspices of the State Committee for Science and Technologies</w:t>
      </w:r>
      <w:r w:rsidR="00BF6529">
        <w:rPr>
          <w:rFonts w:ascii="Times New Roman" w:hAnsi="Times New Roman" w:cs="Times New Roman"/>
          <w:sz w:val="24"/>
          <w:szCs w:val="24"/>
        </w:rPr>
        <w:t xml:space="preserve"> and</w:t>
      </w:r>
      <w:r w:rsidRPr="00575FE8">
        <w:rPr>
          <w:rFonts w:ascii="Times New Roman" w:hAnsi="Times New Roman" w:cs="Times New Roman"/>
          <w:sz w:val="24"/>
          <w:szCs w:val="24"/>
        </w:rPr>
        <w:t xml:space="preserve"> the National Academy of Sciences of Belarus. RCTT`s primary objective is to promote the cooperation between developers and users of high technologies and potential investors. The services are offered to domestic actors involved in innovation activities as well as foreign companies and investors. </w:t>
      </w:r>
    </w:p>
    <w:p w:rsidR="00BF6529" w:rsidRPr="00575FE8" w:rsidRDefault="00BF6529" w:rsidP="00BF6529">
      <w:pPr>
        <w:spacing w:after="0" w:line="240" w:lineRule="auto"/>
        <w:jc w:val="both"/>
        <w:rPr>
          <w:rFonts w:ascii="Times New Roman" w:hAnsi="Times New Roman" w:cs="Times New Roman"/>
          <w:sz w:val="24"/>
          <w:szCs w:val="24"/>
        </w:rPr>
      </w:pPr>
    </w:p>
    <w:p w:rsidR="00BF6529"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Recent changes of RCTT relate to </w:t>
      </w:r>
      <w:r w:rsidR="00BF6529">
        <w:rPr>
          <w:rFonts w:ascii="Times New Roman" w:hAnsi="Times New Roman" w:cs="Times New Roman"/>
          <w:sz w:val="24"/>
          <w:szCs w:val="24"/>
        </w:rPr>
        <w:t>the setting up of</w:t>
      </w:r>
      <w:r w:rsidRPr="00575FE8">
        <w:rPr>
          <w:rFonts w:ascii="Times New Roman" w:hAnsi="Times New Roman" w:cs="Times New Roman"/>
          <w:sz w:val="24"/>
          <w:szCs w:val="24"/>
        </w:rPr>
        <w:t xml:space="preserve"> a separate division inside the centre, which deals with fairs and exhibitions to present the scientific results on the national and international level. The centre directly reports to the chairman of the Academy of Sciences. The general scheme is that the centre develops priority areas for scientific research, which are approved by the Council of Ministries.</w:t>
      </w:r>
      <w:r w:rsidR="00BF6529">
        <w:rPr>
          <w:rFonts w:ascii="Times New Roman" w:hAnsi="Times New Roman" w:cs="Times New Roman"/>
          <w:sz w:val="24"/>
          <w:szCs w:val="24"/>
        </w:rPr>
        <w:t xml:space="preserve"> </w:t>
      </w:r>
    </w:p>
    <w:p w:rsidR="00BF6529" w:rsidRDefault="00BF6529" w:rsidP="00575FE8">
      <w:pPr>
        <w:spacing w:after="0" w:line="240" w:lineRule="auto"/>
        <w:jc w:val="both"/>
        <w:rPr>
          <w:rFonts w:ascii="Times New Roman" w:hAnsi="Times New Roman" w:cs="Times New Roman"/>
          <w:sz w:val="24"/>
          <w:szCs w:val="24"/>
        </w:rPr>
      </w:pPr>
    </w:p>
    <w:p w:rsidR="00575FE8" w:rsidRP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In the last 5-6 years, RCTT enlarged its international partner network considerably: in 2011 the structure included 26 branches and 5 divisions (with 2 offices in China). As of March 2016, 32 branches are included, with 82 foreign partners in 28 countries. Similarly, the </w:t>
      </w:r>
      <w:r w:rsidRPr="00575FE8">
        <w:rPr>
          <w:rFonts w:ascii="Times New Roman" w:hAnsi="Times New Roman" w:cs="Times New Roman"/>
          <w:sz w:val="24"/>
          <w:szCs w:val="24"/>
        </w:rPr>
        <w:lastRenderedPageBreak/>
        <w:t xml:space="preserve">National Academy of Sciences has established of a new tier of 72 centres at the end of 2015 supporting the commercialization of NAS scientific results. </w:t>
      </w:r>
    </w:p>
    <w:p w:rsidR="00575FE8" w:rsidRPr="00575FE8" w:rsidRDefault="00575FE8" w:rsidP="00575FE8">
      <w:pPr>
        <w:spacing w:after="0" w:line="240" w:lineRule="auto"/>
        <w:jc w:val="both"/>
        <w:rPr>
          <w:rFonts w:ascii="Times New Roman" w:hAnsi="Times New Roman" w:cs="Times New Roman"/>
          <w:sz w:val="24"/>
          <w:szCs w:val="24"/>
        </w:rPr>
      </w:pPr>
    </w:p>
    <w:p w:rsidR="00F65B51"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 xml:space="preserve">The </w:t>
      </w:r>
      <w:r w:rsidR="007300BB">
        <w:rPr>
          <w:rFonts w:ascii="Times New Roman" w:hAnsi="Times New Roman" w:cs="Times New Roman"/>
          <w:i/>
          <w:sz w:val="24"/>
          <w:szCs w:val="24"/>
        </w:rPr>
        <w:t>Techno-park</w:t>
      </w:r>
      <w:r w:rsidRPr="00575FE8">
        <w:rPr>
          <w:rFonts w:ascii="Times New Roman" w:hAnsi="Times New Roman" w:cs="Times New Roman"/>
          <w:i/>
          <w:sz w:val="24"/>
          <w:szCs w:val="24"/>
        </w:rPr>
        <w:t xml:space="preserve"> at the Technical University (“Polytechnic”)</w:t>
      </w:r>
      <w:r w:rsidRPr="00575FE8">
        <w:rPr>
          <w:rFonts w:ascii="Times New Roman" w:hAnsi="Times New Roman" w:cs="Times New Roman"/>
          <w:sz w:val="24"/>
          <w:szCs w:val="24"/>
        </w:rPr>
        <w:t xml:space="preserve"> is explicitly mentioned in the State Programme on Innovation Development 2016-2020". Polytechnic is not a classical </w:t>
      </w:r>
      <w:r w:rsidR="007300BB">
        <w:rPr>
          <w:rFonts w:ascii="Times New Roman" w:hAnsi="Times New Roman" w:cs="Times New Roman"/>
          <w:sz w:val="24"/>
          <w:szCs w:val="24"/>
        </w:rPr>
        <w:t>Techno-park</w:t>
      </w:r>
      <w:r w:rsidRPr="00575FE8">
        <w:rPr>
          <w:rFonts w:ascii="Times New Roman" w:hAnsi="Times New Roman" w:cs="Times New Roman"/>
          <w:sz w:val="24"/>
          <w:szCs w:val="24"/>
        </w:rPr>
        <w:t xml:space="preserve"> (like the High-Tech Park), rather than a scientific research organization with different locations. It was founded to commercialize the results of scientific and technical activities of the Belarusian National Technical University (BNTU). The establishment of new innovative enterprises as well as the generation of innovations are the main objectives of Polytechnic. </w:t>
      </w:r>
      <w:r w:rsidR="00F65B51">
        <w:rPr>
          <w:rFonts w:ascii="Times New Roman" w:hAnsi="Times New Roman" w:cs="Times New Roman"/>
          <w:sz w:val="24"/>
          <w:szCs w:val="24"/>
        </w:rPr>
        <w:t>Its activities are</w:t>
      </w:r>
      <w:r w:rsidRPr="00575FE8">
        <w:rPr>
          <w:rFonts w:ascii="Times New Roman" w:hAnsi="Times New Roman" w:cs="Times New Roman"/>
          <w:sz w:val="24"/>
          <w:szCs w:val="24"/>
        </w:rPr>
        <w:t xml:space="preserve"> strongly connected with complementary priorities of BNTU</w:t>
      </w:r>
      <w:r w:rsidR="00F65B51">
        <w:rPr>
          <w:rFonts w:ascii="Times New Roman" w:hAnsi="Times New Roman" w:cs="Times New Roman"/>
          <w:sz w:val="24"/>
          <w:szCs w:val="24"/>
        </w:rPr>
        <w:t xml:space="preserve">. </w:t>
      </w:r>
    </w:p>
    <w:p w:rsidR="00F65B51" w:rsidRDefault="00F65B51" w:rsidP="00575FE8">
      <w:pPr>
        <w:spacing w:after="0" w:line="240" w:lineRule="auto"/>
        <w:jc w:val="both"/>
        <w:rPr>
          <w:rFonts w:ascii="Times New Roman" w:hAnsi="Times New Roman" w:cs="Times New Roman"/>
          <w:sz w:val="24"/>
          <w:szCs w:val="24"/>
        </w:rPr>
      </w:pPr>
    </w:p>
    <w:p w:rsidR="00575FE8" w:rsidRPr="00575FE8" w:rsidRDefault="00F65B51" w:rsidP="00575F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75FE8" w:rsidRPr="00575FE8">
        <w:rPr>
          <w:rFonts w:ascii="Times New Roman" w:hAnsi="Times New Roman" w:cs="Times New Roman"/>
          <w:sz w:val="24"/>
          <w:szCs w:val="24"/>
        </w:rPr>
        <w:t xml:space="preserve">n addition to the parks described so far, the </w:t>
      </w:r>
      <w:r w:rsidR="00575FE8" w:rsidRPr="00575FE8">
        <w:rPr>
          <w:rFonts w:ascii="Times New Roman" w:hAnsi="Times New Roman" w:cs="Times New Roman"/>
          <w:i/>
          <w:sz w:val="24"/>
          <w:szCs w:val="24"/>
        </w:rPr>
        <w:t>Minsk City Industrial Park</w:t>
      </w:r>
      <w:r w:rsidR="00575FE8" w:rsidRPr="00575FE8">
        <w:rPr>
          <w:rFonts w:ascii="Times New Roman" w:hAnsi="Times New Roman" w:cs="Times New Roman"/>
          <w:sz w:val="24"/>
          <w:szCs w:val="24"/>
        </w:rPr>
        <w:t xml:space="preserve"> was founded in 2011 and has around 30 companies. It includes shared labs to facilitate the collective use of equipment. There is a submarket rental rate, a lower corporate tax rate (10</w:t>
      </w:r>
      <w:r w:rsidR="007300BB">
        <w:rPr>
          <w:rFonts w:ascii="Times New Roman" w:hAnsi="Times New Roman" w:cs="Times New Roman"/>
          <w:sz w:val="24"/>
          <w:szCs w:val="24"/>
        </w:rPr>
        <w:t xml:space="preserve"> per cent</w:t>
      </w:r>
      <w:r w:rsidR="00575FE8" w:rsidRPr="00575FE8">
        <w:rPr>
          <w:rFonts w:ascii="Times New Roman" w:hAnsi="Times New Roman" w:cs="Times New Roman"/>
          <w:sz w:val="24"/>
          <w:szCs w:val="24"/>
        </w:rPr>
        <w:t xml:space="preserve">) and exemptions </w:t>
      </w:r>
      <w:r w:rsidR="00C7043B" w:rsidRPr="00575FE8">
        <w:rPr>
          <w:rFonts w:ascii="Times New Roman" w:hAnsi="Times New Roman" w:cs="Times New Roman"/>
          <w:sz w:val="24"/>
          <w:szCs w:val="24"/>
        </w:rPr>
        <w:t>from</w:t>
      </w:r>
      <w:r w:rsidR="00575FE8" w:rsidRPr="00575FE8">
        <w:rPr>
          <w:rFonts w:ascii="Times New Roman" w:hAnsi="Times New Roman" w:cs="Times New Roman"/>
          <w:sz w:val="24"/>
          <w:szCs w:val="24"/>
        </w:rPr>
        <w:t xml:space="preserve"> local taxation. The resident companies are among others engaged in applied electro-optical technologies, data protection systems, aircraft industry and navigation technologies, and nanotechnologies. The park is currently expanding with the construction of a manufacturing building. </w:t>
      </w:r>
    </w:p>
    <w:p w:rsidR="00575FE8" w:rsidRPr="00575FE8" w:rsidRDefault="00575FE8" w:rsidP="00575FE8">
      <w:pPr>
        <w:spacing w:after="0" w:line="240" w:lineRule="auto"/>
        <w:jc w:val="both"/>
        <w:rPr>
          <w:rFonts w:ascii="Times New Roman" w:hAnsi="Times New Roman" w:cs="Times New Roman"/>
          <w:sz w:val="24"/>
          <w:szCs w:val="24"/>
        </w:rPr>
      </w:pPr>
    </w:p>
    <w:p w:rsidR="00575FE8" w:rsidRDefault="00575FE8" w:rsidP="00575FE8">
      <w:pPr>
        <w:spacing w:after="0" w:line="240" w:lineRule="auto"/>
        <w:jc w:val="both"/>
        <w:rPr>
          <w:rFonts w:ascii="Times New Roman" w:hAnsi="Times New Roman" w:cs="Times New Roman"/>
          <w:sz w:val="24"/>
          <w:szCs w:val="24"/>
        </w:rPr>
      </w:pPr>
      <w:r w:rsidRPr="00575FE8">
        <w:rPr>
          <w:rFonts w:ascii="Times New Roman" w:hAnsi="Times New Roman" w:cs="Times New Roman"/>
          <w:sz w:val="24"/>
          <w:szCs w:val="24"/>
        </w:rPr>
        <w:t>Finally, the Government has launched another new project in the last five years: the Belarusian-Chinese Big Stone Techno</w:t>
      </w:r>
      <w:r w:rsidR="00C7043B">
        <w:rPr>
          <w:rFonts w:ascii="Times New Roman" w:hAnsi="Times New Roman" w:cs="Times New Roman"/>
          <w:sz w:val="24"/>
          <w:szCs w:val="24"/>
        </w:rPr>
        <w:t>-</w:t>
      </w:r>
      <w:r w:rsidRPr="00575FE8">
        <w:rPr>
          <w:rFonts w:ascii="Times New Roman" w:hAnsi="Times New Roman" w:cs="Times New Roman"/>
          <w:sz w:val="24"/>
          <w:szCs w:val="24"/>
        </w:rPr>
        <w:t xml:space="preserve">park, which is intended to include start-up support. </w:t>
      </w:r>
      <w:r w:rsidR="00F65B51">
        <w:rPr>
          <w:rFonts w:ascii="Times New Roman" w:hAnsi="Times New Roman" w:cs="Times New Roman"/>
          <w:sz w:val="24"/>
          <w:szCs w:val="24"/>
        </w:rPr>
        <w:t>The</w:t>
      </w:r>
      <w:r w:rsidRPr="00575FE8">
        <w:rPr>
          <w:rFonts w:ascii="Times New Roman" w:hAnsi="Times New Roman" w:cs="Times New Roman"/>
          <w:sz w:val="24"/>
          <w:szCs w:val="24"/>
        </w:rPr>
        <w:t xml:space="preserve"> park </w:t>
      </w:r>
      <w:r w:rsidR="00F65B51">
        <w:rPr>
          <w:rFonts w:ascii="Times New Roman" w:hAnsi="Times New Roman" w:cs="Times New Roman"/>
          <w:sz w:val="24"/>
          <w:szCs w:val="24"/>
        </w:rPr>
        <w:t>will</w:t>
      </w:r>
      <w:r w:rsidRPr="00575FE8">
        <w:rPr>
          <w:rFonts w:ascii="Times New Roman" w:hAnsi="Times New Roman" w:cs="Times New Roman"/>
          <w:sz w:val="24"/>
          <w:szCs w:val="24"/>
        </w:rPr>
        <w:t xml:space="preserve"> host high-tech and export-oriented companies in electronics, biomedicine, fine chemistry and engineering. Incentives for companies are exemptions from profit, land and real estate taxes granted to all Park`s residents for its first ten years. In addition, the income tax of the employees will be lower than for non-park employees.  </w:t>
      </w:r>
    </w:p>
    <w:p w:rsidR="00C7043B" w:rsidRDefault="00C7043B" w:rsidP="00575FE8">
      <w:pPr>
        <w:spacing w:after="0" w:line="240" w:lineRule="auto"/>
        <w:jc w:val="both"/>
        <w:rPr>
          <w:rFonts w:ascii="Times New Roman" w:hAnsi="Times New Roman" w:cs="Times New Roman"/>
          <w:sz w:val="24"/>
          <w:szCs w:val="24"/>
        </w:rPr>
      </w:pPr>
    </w:p>
    <w:p w:rsidR="00FD2D8E" w:rsidRPr="00FC4864" w:rsidRDefault="006E02AF" w:rsidP="00FC4864">
      <w:pPr>
        <w:pStyle w:val="afb"/>
        <w:spacing w:before="0"/>
        <w:rPr>
          <w:rFonts w:asciiTheme="minorHAnsi" w:hAnsiTheme="minorHAnsi" w:cstheme="minorHAnsi"/>
          <w:color w:val="auto"/>
          <w:sz w:val="24"/>
          <w:szCs w:val="24"/>
        </w:rPr>
      </w:pPr>
      <w:bookmarkStart w:id="2" w:name="_Toc455497889"/>
      <w:bookmarkStart w:id="3" w:name="_Toc455499248"/>
      <w:r w:rsidRPr="00FC4864">
        <w:rPr>
          <w:rFonts w:asciiTheme="minorHAnsi" w:hAnsiTheme="minorHAnsi" w:cstheme="minorHAnsi"/>
          <w:color w:val="auto"/>
          <w:sz w:val="24"/>
          <w:szCs w:val="24"/>
        </w:rPr>
        <w:t>C</w:t>
      </w:r>
      <w:r w:rsidR="00605D17" w:rsidRPr="00FC4864">
        <w:rPr>
          <w:rFonts w:asciiTheme="minorHAnsi" w:hAnsiTheme="minorHAnsi" w:cstheme="minorHAnsi"/>
          <w:color w:val="auto"/>
          <w:sz w:val="24"/>
          <w:szCs w:val="24"/>
        </w:rPr>
        <w:t>hapter 3:</w:t>
      </w:r>
      <w:bookmarkEnd w:id="2"/>
      <w:r w:rsidR="00FD2D8E" w:rsidRPr="00FC4864">
        <w:rPr>
          <w:rFonts w:asciiTheme="minorHAnsi" w:hAnsiTheme="minorHAnsi" w:cstheme="minorHAnsi"/>
          <w:color w:val="auto"/>
          <w:sz w:val="24"/>
          <w:szCs w:val="24"/>
        </w:rPr>
        <w:t xml:space="preserve"> </w:t>
      </w:r>
      <w:r w:rsidR="00037F51">
        <w:rPr>
          <w:rFonts w:asciiTheme="minorHAnsi" w:hAnsiTheme="minorHAnsi" w:cstheme="minorHAnsi"/>
          <w:color w:val="auto"/>
          <w:sz w:val="24"/>
          <w:szCs w:val="24"/>
        </w:rPr>
        <w:t>m</w:t>
      </w:r>
      <w:r w:rsidR="00FD2D8E" w:rsidRPr="00FC4864">
        <w:rPr>
          <w:rFonts w:asciiTheme="minorHAnsi" w:hAnsiTheme="minorHAnsi" w:cstheme="minorHAnsi"/>
          <w:color w:val="auto"/>
          <w:sz w:val="24"/>
          <w:szCs w:val="24"/>
        </w:rPr>
        <w:t>easuring innovation performance</w:t>
      </w:r>
      <w:bookmarkEnd w:id="3"/>
    </w:p>
    <w:p w:rsidR="00C7043B" w:rsidRDefault="00C7043B" w:rsidP="006E02AF">
      <w:pPr>
        <w:spacing w:after="0" w:line="240" w:lineRule="auto"/>
        <w:jc w:val="both"/>
        <w:rPr>
          <w:rFonts w:ascii="Times New Roman" w:hAnsi="Times New Roman" w:cs="Times New Roman"/>
          <w:sz w:val="24"/>
          <w:szCs w:val="24"/>
        </w:rPr>
      </w:pPr>
    </w:p>
    <w:p w:rsidR="006E02AF" w:rsidRPr="006E02AF" w:rsidRDefault="006E02AF" w:rsidP="006E02AF">
      <w:pPr>
        <w:spacing w:after="0" w:line="240" w:lineRule="auto"/>
        <w:jc w:val="both"/>
        <w:rPr>
          <w:rFonts w:ascii="Times New Roman" w:hAnsi="Times New Roman" w:cs="Times New Roman"/>
          <w:sz w:val="24"/>
          <w:szCs w:val="24"/>
        </w:rPr>
      </w:pPr>
      <w:r w:rsidRPr="006E02AF">
        <w:rPr>
          <w:rFonts w:ascii="Times New Roman" w:hAnsi="Times New Roman" w:cs="Times New Roman"/>
          <w:sz w:val="24"/>
          <w:szCs w:val="24"/>
        </w:rPr>
        <w:t xml:space="preserve">This chapter explores the position of Belarus in different international rankings from the perspective the technology upgrading and growth potential. Belarus is </w:t>
      </w:r>
      <w:r w:rsidR="000D7E58">
        <w:rPr>
          <w:rFonts w:ascii="Times New Roman" w:hAnsi="Times New Roman" w:cs="Times New Roman"/>
          <w:sz w:val="24"/>
          <w:szCs w:val="24"/>
        </w:rPr>
        <w:t xml:space="preserve">a </w:t>
      </w:r>
      <w:r w:rsidRPr="006E02AF">
        <w:rPr>
          <w:rFonts w:ascii="Times New Roman" w:hAnsi="Times New Roman" w:cs="Times New Roman"/>
          <w:sz w:val="24"/>
          <w:szCs w:val="24"/>
        </w:rPr>
        <w:t xml:space="preserve">European </w:t>
      </w:r>
      <w:r w:rsidR="005E2664">
        <w:rPr>
          <w:rFonts w:ascii="Times New Roman" w:hAnsi="Times New Roman" w:cs="Times New Roman"/>
          <w:sz w:val="24"/>
          <w:szCs w:val="24"/>
        </w:rPr>
        <w:t xml:space="preserve">country with </w:t>
      </w:r>
      <w:r w:rsidRPr="006E02AF">
        <w:rPr>
          <w:rFonts w:ascii="Times New Roman" w:hAnsi="Times New Roman" w:cs="Times New Roman"/>
          <w:sz w:val="24"/>
          <w:szCs w:val="24"/>
        </w:rPr>
        <w:t xml:space="preserve">economy </w:t>
      </w:r>
      <w:r w:rsidR="005E2664">
        <w:rPr>
          <w:rFonts w:ascii="Times New Roman" w:hAnsi="Times New Roman" w:cs="Times New Roman"/>
          <w:sz w:val="24"/>
          <w:szCs w:val="24"/>
        </w:rPr>
        <w:t xml:space="preserve">in </w:t>
      </w:r>
      <w:r w:rsidRPr="006E02AF">
        <w:rPr>
          <w:rFonts w:ascii="Times New Roman" w:hAnsi="Times New Roman" w:cs="Times New Roman"/>
          <w:sz w:val="24"/>
          <w:szCs w:val="24"/>
        </w:rPr>
        <w:t>transition</w:t>
      </w:r>
      <w:r w:rsidR="005E2664">
        <w:rPr>
          <w:rFonts w:ascii="Times New Roman" w:hAnsi="Times New Roman" w:cs="Times New Roman"/>
          <w:sz w:val="24"/>
          <w:szCs w:val="24"/>
        </w:rPr>
        <w:t xml:space="preserve"> which has </w:t>
      </w:r>
      <w:r w:rsidRPr="006E02AF">
        <w:rPr>
          <w:rFonts w:ascii="Times New Roman" w:hAnsi="Times New Roman" w:cs="Times New Roman"/>
          <w:sz w:val="24"/>
          <w:szCs w:val="24"/>
        </w:rPr>
        <w:t xml:space="preserve">managed to </w:t>
      </w:r>
      <w:r w:rsidR="005E2664">
        <w:rPr>
          <w:rFonts w:ascii="Times New Roman" w:hAnsi="Times New Roman" w:cs="Times New Roman"/>
          <w:sz w:val="24"/>
          <w:szCs w:val="24"/>
        </w:rPr>
        <w:t xml:space="preserve">significantly </w:t>
      </w:r>
      <w:r w:rsidRPr="006E02AF">
        <w:rPr>
          <w:rFonts w:ascii="Times New Roman" w:hAnsi="Times New Roman" w:cs="Times New Roman"/>
          <w:sz w:val="24"/>
          <w:szCs w:val="24"/>
        </w:rPr>
        <w:t>preserve its inherited manufacturing capabilities. When compared to 1981</w:t>
      </w:r>
      <w:r w:rsidR="000D7E58">
        <w:rPr>
          <w:rFonts w:ascii="Times New Roman" w:hAnsi="Times New Roman" w:cs="Times New Roman"/>
          <w:sz w:val="24"/>
          <w:szCs w:val="24"/>
        </w:rPr>
        <w:t>,</w:t>
      </w:r>
      <w:r w:rsidR="005E2664">
        <w:rPr>
          <w:rFonts w:ascii="Times New Roman" w:hAnsi="Times New Roman" w:cs="Times New Roman"/>
          <w:sz w:val="24"/>
          <w:szCs w:val="24"/>
        </w:rPr>
        <w:t xml:space="preserve"> the country’s </w:t>
      </w:r>
      <w:r w:rsidRPr="006E02AF">
        <w:rPr>
          <w:rFonts w:ascii="Times New Roman" w:hAnsi="Times New Roman" w:cs="Times New Roman"/>
          <w:sz w:val="24"/>
          <w:szCs w:val="24"/>
        </w:rPr>
        <w:t>GDP increased by 2.4 times</w:t>
      </w:r>
      <w:r w:rsidR="005E2664" w:rsidRPr="005E2664">
        <w:t xml:space="preserve"> </w:t>
      </w:r>
      <w:r w:rsidR="005E2664" w:rsidRPr="005E2664">
        <w:rPr>
          <w:rFonts w:ascii="Times New Roman" w:hAnsi="Times New Roman" w:cs="Times New Roman"/>
          <w:sz w:val="24"/>
          <w:szCs w:val="24"/>
        </w:rPr>
        <w:t>in 2015</w:t>
      </w:r>
      <w:r w:rsidRPr="006E02AF">
        <w:rPr>
          <w:rFonts w:ascii="Times New Roman" w:hAnsi="Times New Roman" w:cs="Times New Roman"/>
          <w:sz w:val="24"/>
          <w:szCs w:val="24"/>
        </w:rPr>
        <w:t xml:space="preserve">. However, the growth of Belarus has significantly slowed down since 2010, and it </w:t>
      </w:r>
      <w:r w:rsidR="000D7E58">
        <w:rPr>
          <w:rFonts w:ascii="Times New Roman" w:hAnsi="Times New Roman" w:cs="Times New Roman"/>
          <w:sz w:val="24"/>
          <w:szCs w:val="24"/>
        </w:rPr>
        <w:t xml:space="preserve">is not clear that the economy will be able to </w:t>
      </w:r>
      <w:r w:rsidRPr="006E02AF">
        <w:rPr>
          <w:rFonts w:ascii="Times New Roman" w:hAnsi="Times New Roman" w:cs="Times New Roman"/>
          <w:sz w:val="24"/>
          <w:szCs w:val="24"/>
        </w:rPr>
        <w:t xml:space="preserve">repeat its previous growth rates. </w:t>
      </w:r>
      <w:r w:rsidR="000D7E58">
        <w:rPr>
          <w:rFonts w:ascii="Times New Roman" w:hAnsi="Times New Roman" w:cs="Times New Roman"/>
          <w:sz w:val="24"/>
          <w:szCs w:val="24"/>
        </w:rPr>
        <w:t xml:space="preserve"> T</w:t>
      </w:r>
      <w:r w:rsidRPr="006E02AF">
        <w:rPr>
          <w:rFonts w:ascii="Times New Roman" w:hAnsi="Times New Roman" w:cs="Times New Roman"/>
          <w:sz w:val="24"/>
          <w:szCs w:val="24"/>
        </w:rPr>
        <w:t>his trend may be strongly impacted by the overall slowdown in the EU and Russia</w:t>
      </w:r>
      <w:r w:rsidR="000D7E58">
        <w:rPr>
          <w:rFonts w:ascii="Times New Roman" w:hAnsi="Times New Roman" w:cs="Times New Roman"/>
          <w:sz w:val="24"/>
          <w:szCs w:val="24"/>
        </w:rPr>
        <w:t>,</w:t>
      </w:r>
      <w:r w:rsidRPr="006E02AF">
        <w:rPr>
          <w:rFonts w:ascii="Times New Roman" w:hAnsi="Times New Roman" w:cs="Times New Roman"/>
          <w:sz w:val="24"/>
          <w:szCs w:val="24"/>
        </w:rPr>
        <w:t xml:space="preserve"> which have affected Belarus as well. Still, </w:t>
      </w:r>
      <w:r w:rsidR="005E2664">
        <w:rPr>
          <w:rFonts w:ascii="Times New Roman" w:hAnsi="Times New Roman" w:cs="Times New Roman"/>
          <w:sz w:val="24"/>
          <w:szCs w:val="24"/>
        </w:rPr>
        <w:t>the</w:t>
      </w:r>
      <w:r w:rsidRPr="006E02AF">
        <w:rPr>
          <w:rFonts w:ascii="Times New Roman" w:hAnsi="Times New Roman" w:cs="Times New Roman"/>
          <w:sz w:val="24"/>
          <w:szCs w:val="24"/>
        </w:rPr>
        <w:t xml:space="preserve"> growth</w:t>
      </w:r>
      <w:r w:rsidR="005E2664">
        <w:rPr>
          <w:rFonts w:ascii="Times New Roman" w:hAnsi="Times New Roman" w:cs="Times New Roman"/>
          <w:sz w:val="24"/>
          <w:szCs w:val="24"/>
        </w:rPr>
        <w:t xml:space="preserve"> determinants</w:t>
      </w:r>
      <w:r w:rsidR="005E2664" w:rsidRPr="006E02AF">
        <w:rPr>
          <w:rFonts w:ascii="Times New Roman" w:hAnsi="Times New Roman" w:cs="Times New Roman"/>
          <w:sz w:val="24"/>
          <w:szCs w:val="24"/>
        </w:rPr>
        <w:t xml:space="preserve"> of</w:t>
      </w:r>
      <w:r w:rsidR="005E2664">
        <w:rPr>
          <w:rFonts w:ascii="Times New Roman" w:hAnsi="Times New Roman" w:cs="Times New Roman"/>
          <w:sz w:val="24"/>
          <w:szCs w:val="24"/>
        </w:rPr>
        <w:t xml:space="preserve"> the</w:t>
      </w:r>
      <w:r w:rsidR="005E2664" w:rsidRPr="006E02AF">
        <w:rPr>
          <w:rFonts w:ascii="Times New Roman" w:hAnsi="Times New Roman" w:cs="Times New Roman"/>
          <w:sz w:val="24"/>
          <w:szCs w:val="24"/>
        </w:rPr>
        <w:t xml:space="preserve"> Belarusian economy in the future remain</w:t>
      </w:r>
      <w:r w:rsidRPr="006E02AF">
        <w:rPr>
          <w:rFonts w:ascii="Times New Roman" w:hAnsi="Times New Roman" w:cs="Times New Roman"/>
          <w:sz w:val="24"/>
          <w:szCs w:val="24"/>
        </w:rPr>
        <w:t xml:space="preserve"> uncertain.</w:t>
      </w:r>
    </w:p>
    <w:p w:rsidR="006E02AF" w:rsidRPr="006E02AF" w:rsidRDefault="006E02AF" w:rsidP="006E02AF">
      <w:pPr>
        <w:spacing w:after="0" w:line="240" w:lineRule="auto"/>
        <w:jc w:val="both"/>
        <w:rPr>
          <w:rFonts w:ascii="Times New Roman" w:hAnsi="Times New Roman" w:cs="Times New Roman"/>
          <w:sz w:val="24"/>
          <w:szCs w:val="24"/>
        </w:rPr>
      </w:pPr>
    </w:p>
    <w:p w:rsidR="006E02AF" w:rsidRPr="006E02AF" w:rsidRDefault="006E02AF" w:rsidP="006E02AF">
      <w:pPr>
        <w:spacing w:after="0" w:line="240" w:lineRule="auto"/>
        <w:jc w:val="both"/>
        <w:rPr>
          <w:rFonts w:ascii="Times New Roman" w:hAnsi="Times New Roman" w:cs="Times New Roman"/>
          <w:sz w:val="24"/>
          <w:szCs w:val="24"/>
        </w:rPr>
      </w:pPr>
      <w:r w:rsidRPr="006E02AF">
        <w:rPr>
          <w:rFonts w:ascii="Times New Roman" w:hAnsi="Times New Roman" w:cs="Times New Roman"/>
          <w:sz w:val="24"/>
          <w:szCs w:val="24"/>
        </w:rPr>
        <w:t>In the majority of the European ex-socialist economies, the transition process has been characterised by deindustrialization. Belarus is unique in that respect as it has not deindustrialized to that extent as the share of industry is still above 40</w:t>
      </w:r>
      <w:r w:rsidR="007300BB">
        <w:rPr>
          <w:rFonts w:ascii="Times New Roman" w:hAnsi="Times New Roman" w:cs="Times New Roman"/>
          <w:sz w:val="24"/>
          <w:szCs w:val="24"/>
        </w:rPr>
        <w:t xml:space="preserve"> per cent</w:t>
      </w:r>
      <w:r w:rsidRPr="006E02AF">
        <w:rPr>
          <w:rFonts w:ascii="Times New Roman" w:hAnsi="Times New Roman" w:cs="Times New Roman"/>
          <w:sz w:val="24"/>
          <w:szCs w:val="24"/>
        </w:rPr>
        <w:t xml:space="preserve"> of GDP. This is quite important as the industry is still the main locus of R&amp;D and innovation activities. However, although the level of productivity in Belarusian manufacturing is above CIS economies, it is five times lower than Austrian, 2.5 times lower than in Czech R and two times lower than in Israel. It is interesting that Israel despite being successful high-tech economy has not spread its technological achievements into the rest of manufacturing to the same extent (see Table </w:t>
      </w:r>
      <w:r w:rsidR="00F808C8">
        <w:rPr>
          <w:rFonts w:ascii="Times New Roman" w:hAnsi="Times New Roman" w:cs="Times New Roman"/>
          <w:sz w:val="24"/>
          <w:szCs w:val="24"/>
        </w:rPr>
        <w:t>X</w:t>
      </w:r>
      <w:r w:rsidRPr="006E02AF">
        <w:rPr>
          <w:rFonts w:ascii="Times New Roman" w:hAnsi="Times New Roman" w:cs="Times New Roman"/>
          <w:sz w:val="24"/>
          <w:szCs w:val="24"/>
        </w:rPr>
        <w:t xml:space="preserve">). This is a very important lesson for Belarus, which has an aspiration to become high-tech economy focused on ICT. </w:t>
      </w:r>
    </w:p>
    <w:p w:rsidR="006E02AF" w:rsidRPr="0012047F" w:rsidRDefault="006E02AF" w:rsidP="006E02AF">
      <w:pPr>
        <w:spacing w:after="0" w:line="240" w:lineRule="auto"/>
        <w:jc w:val="both"/>
        <w:rPr>
          <w:rFonts w:ascii="Times New Roman" w:hAnsi="Times New Roman" w:cs="Times New Roman"/>
          <w:sz w:val="24"/>
          <w:szCs w:val="24"/>
        </w:rPr>
      </w:pPr>
    </w:p>
    <w:p w:rsidR="00F808C8" w:rsidRPr="00852910" w:rsidRDefault="00F808C8" w:rsidP="00F808C8">
      <w:pPr>
        <w:spacing w:after="0" w:line="240" w:lineRule="auto"/>
        <w:contextualSpacing/>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Table X: Average rate of change of manufacturing value added per capita</w:t>
      </w:r>
    </w:p>
    <w:p w:rsidR="00F808C8" w:rsidRPr="009B57C2" w:rsidRDefault="00F808C8" w:rsidP="00F808C8">
      <w:pPr>
        <w:spacing w:after="0" w:line="240" w:lineRule="auto"/>
        <w:contextualSpacing/>
        <w:rPr>
          <w:rFonts w:ascii="Times New Roman" w:eastAsia="Times New Roman" w:hAnsi="Times New Roman" w:cs="Times New Roman"/>
          <w:sz w:val="24"/>
          <w:szCs w:val="24"/>
        </w:rPr>
      </w:pPr>
      <w:r w:rsidRPr="009B57C2">
        <w:rPr>
          <w:rFonts w:ascii="Times New Roman" w:eastAsia="Times New Roman" w:hAnsi="Times New Roman" w:cs="Times New Roman"/>
          <w:noProof/>
          <w:sz w:val="24"/>
          <w:szCs w:val="24"/>
          <w:lang w:val="ru-RU" w:eastAsia="ru-RU"/>
        </w:rPr>
        <w:lastRenderedPageBreak/>
        <w:drawing>
          <wp:inline distT="0" distB="0" distL="0" distR="0" wp14:anchorId="59379CF8" wp14:editId="458DB9E6">
            <wp:extent cx="4945711" cy="1765190"/>
            <wp:effectExtent l="0" t="0" r="7620" b="69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950776" cy="1766998"/>
                    </a:xfrm>
                    <a:prstGeom prst="rect">
                      <a:avLst/>
                    </a:prstGeom>
                    <a:noFill/>
                    <a:ln w="9525">
                      <a:noFill/>
                      <a:miter lim="800000"/>
                      <a:headEnd/>
                      <a:tailEnd/>
                    </a:ln>
                  </pic:spPr>
                </pic:pic>
              </a:graphicData>
            </a:graphic>
          </wp:inline>
        </w:drawing>
      </w:r>
    </w:p>
    <w:p w:rsidR="00F808C8" w:rsidRPr="009B57C2" w:rsidRDefault="00F808C8" w:rsidP="00F808C8">
      <w:pPr>
        <w:spacing w:after="0" w:line="240" w:lineRule="auto"/>
        <w:contextualSpacing/>
        <w:rPr>
          <w:rFonts w:ascii="Times New Roman" w:eastAsia="Times New Roman" w:hAnsi="Times New Roman" w:cs="Times New Roman"/>
          <w:sz w:val="20"/>
          <w:szCs w:val="24"/>
        </w:rPr>
      </w:pPr>
      <w:r w:rsidRPr="009B57C2">
        <w:rPr>
          <w:rFonts w:ascii="Times New Roman" w:eastAsia="Times New Roman" w:hAnsi="Times New Roman" w:cs="Times New Roman"/>
          <w:sz w:val="20"/>
          <w:szCs w:val="24"/>
        </w:rPr>
        <w:t>Source: UNIDO Industrial Performance Index database</w:t>
      </w:r>
    </w:p>
    <w:p w:rsidR="00F808C8" w:rsidRDefault="00F808C8" w:rsidP="006E02AF">
      <w:pPr>
        <w:spacing w:after="0" w:line="240" w:lineRule="auto"/>
        <w:jc w:val="both"/>
        <w:rPr>
          <w:rFonts w:ascii="Times New Roman" w:hAnsi="Times New Roman" w:cs="Times New Roman"/>
          <w:sz w:val="24"/>
          <w:szCs w:val="24"/>
        </w:rPr>
      </w:pPr>
    </w:p>
    <w:p w:rsidR="006E02AF" w:rsidRPr="006E02AF" w:rsidRDefault="006E02AF" w:rsidP="006E02AF">
      <w:pPr>
        <w:spacing w:after="0" w:line="240" w:lineRule="auto"/>
        <w:jc w:val="both"/>
        <w:rPr>
          <w:rFonts w:ascii="Times New Roman" w:hAnsi="Times New Roman" w:cs="Times New Roman"/>
          <w:sz w:val="24"/>
          <w:szCs w:val="24"/>
        </w:rPr>
      </w:pPr>
      <w:r w:rsidRPr="006E02AF">
        <w:rPr>
          <w:rFonts w:ascii="Times New Roman" w:hAnsi="Times New Roman" w:cs="Times New Roman"/>
          <w:sz w:val="24"/>
          <w:szCs w:val="24"/>
        </w:rPr>
        <w:t xml:space="preserve">Dynamics of productivity in manufacturing in Belarus is highly uneven which suggest that it is driven by cyclical factors rather than by steady productivity improvements based on new technologies. </w:t>
      </w:r>
      <w:r w:rsidR="00A3542D">
        <w:rPr>
          <w:rFonts w:ascii="Times New Roman" w:hAnsi="Times New Roman" w:cs="Times New Roman"/>
          <w:sz w:val="24"/>
          <w:szCs w:val="24"/>
        </w:rPr>
        <w:t xml:space="preserve">Although </w:t>
      </w:r>
      <w:r w:rsidRPr="006E02AF">
        <w:rPr>
          <w:rFonts w:ascii="Times New Roman" w:hAnsi="Times New Roman" w:cs="Times New Roman"/>
          <w:sz w:val="24"/>
          <w:szCs w:val="24"/>
        </w:rPr>
        <w:t xml:space="preserve">t Belarusian performance in that respect has been above </w:t>
      </w:r>
      <w:r w:rsidR="000D7E58">
        <w:rPr>
          <w:rFonts w:ascii="Times New Roman" w:hAnsi="Times New Roman" w:cs="Times New Roman"/>
          <w:sz w:val="24"/>
          <w:szCs w:val="24"/>
        </w:rPr>
        <w:t>other</w:t>
      </w:r>
      <w:r w:rsidRPr="006E02AF">
        <w:rPr>
          <w:rFonts w:ascii="Times New Roman" w:hAnsi="Times New Roman" w:cs="Times New Roman"/>
          <w:sz w:val="24"/>
          <w:szCs w:val="24"/>
        </w:rPr>
        <w:t xml:space="preserve"> CIS economies</w:t>
      </w:r>
      <w:r w:rsidR="000D7E58">
        <w:rPr>
          <w:rFonts w:ascii="Times New Roman" w:hAnsi="Times New Roman" w:cs="Times New Roman"/>
          <w:sz w:val="24"/>
          <w:szCs w:val="24"/>
        </w:rPr>
        <w:t xml:space="preserve">, </w:t>
      </w:r>
      <w:r w:rsidRPr="006E02AF">
        <w:rPr>
          <w:rFonts w:ascii="Times New Roman" w:hAnsi="Times New Roman" w:cs="Times New Roman"/>
          <w:sz w:val="24"/>
          <w:szCs w:val="24"/>
        </w:rPr>
        <w:t xml:space="preserve">Belarus </w:t>
      </w:r>
      <w:r w:rsidR="000D7E58">
        <w:rPr>
          <w:rFonts w:ascii="Times New Roman" w:hAnsi="Times New Roman" w:cs="Times New Roman"/>
          <w:sz w:val="24"/>
          <w:szCs w:val="24"/>
        </w:rPr>
        <w:t>has</w:t>
      </w:r>
      <w:r w:rsidRPr="006E02AF">
        <w:rPr>
          <w:rFonts w:ascii="Times New Roman" w:hAnsi="Times New Roman" w:cs="Times New Roman"/>
          <w:sz w:val="24"/>
          <w:szCs w:val="24"/>
        </w:rPr>
        <w:t xml:space="preserve"> faced dwindling export opportunities</w:t>
      </w:r>
      <w:r w:rsidR="000D7E58">
        <w:rPr>
          <w:rFonts w:ascii="Times New Roman" w:hAnsi="Times New Roman" w:cs="Times New Roman"/>
          <w:sz w:val="24"/>
          <w:szCs w:val="24"/>
        </w:rPr>
        <w:t xml:space="preserve"> in the period</w:t>
      </w:r>
      <w:r w:rsidRPr="006E02AF">
        <w:rPr>
          <w:rFonts w:ascii="Times New Roman" w:hAnsi="Times New Roman" w:cs="Times New Roman"/>
          <w:sz w:val="24"/>
          <w:szCs w:val="24"/>
        </w:rPr>
        <w:t xml:space="preserve"> post-2008</w:t>
      </w:r>
      <w:r w:rsidR="00A3542D">
        <w:rPr>
          <w:rFonts w:ascii="Times New Roman" w:hAnsi="Times New Roman" w:cs="Times New Roman"/>
          <w:sz w:val="24"/>
          <w:szCs w:val="24"/>
        </w:rPr>
        <w:t xml:space="preserve">. </w:t>
      </w:r>
      <w:r w:rsidR="004F0866">
        <w:rPr>
          <w:rFonts w:ascii="Times New Roman" w:hAnsi="Times New Roman" w:cs="Times New Roman"/>
          <w:sz w:val="24"/>
          <w:szCs w:val="24"/>
        </w:rPr>
        <w:t>O</w:t>
      </w:r>
      <w:r w:rsidRPr="006E02AF">
        <w:rPr>
          <w:rFonts w:ascii="Times New Roman" w:hAnsi="Times New Roman" w:cs="Times New Roman"/>
          <w:sz w:val="24"/>
          <w:szCs w:val="24"/>
        </w:rPr>
        <w:t xml:space="preserve">verall, the performance of Belarus has been satisfactory regarding growth and productivity. However, its future growth based on productivity and innovation is uncertain. Its preserved industrial capacity needs rejuvenation given the changing nature of the industry where increased service and knowledge content together with automation are changing its nature. </w:t>
      </w:r>
    </w:p>
    <w:p w:rsidR="006E02AF" w:rsidRPr="006E02AF" w:rsidRDefault="006E02AF" w:rsidP="006E02AF">
      <w:pPr>
        <w:spacing w:after="0" w:line="240" w:lineRule="auto"/>
        <w:jc w:val="both"/>
        <w:rPr>
          <w:rFonts w:ascii="Times New Roman" w:hAnsi="Times New Roman" w:cs="Times New Roman"/>
          <w:sz w:val="24"/>
          <w:szCs w:val="24"/>
        </w:rPr>
      </w:pPr>
    </w:p>
    <w:p w:rsidR="00605D17" w:rsidRPr="000656C3" w:rsidRDefault="006E02AF" w:rsidP="006E02AF">
      <w:pPr>
        <w:spacing w:after="0" w:line="240" w:lineRule="auto"/>
        <w:jc w:val="both"/>
        <w:rPr>
          <w:rFonts w:ascii="Times New Roman" w:hAnsi="Times New Roman" w:cs="Times New Roman"/>
          <w:i/>
          <w:sz w:val="24"/>
          <w:szCs w:val="24"/>
        </w:rPr>
      </w:pPr>
      <w:r w:rsidRPr="000656C3">
        <w:rPr>
          <w:rFonts w:ascii="Times New Roman" w:hAnsi="Times New Roman" w:cs="Times New Roman"/>
          <w:i/>
          <w:sz w:val="24"/>
          <w:szCs w:val="24"/>
        </w:rPr>
        <w:t>Benchmarking</w:t>
      </w:r>
      <w:r w:rsidR="000656C3">
        <w:rPr>
          <w:rFonts w:ascii="Times New Roman" w:hAnsi="Times New Roman" w:cs="Times New Roman"/>
          <w:i/>
          <w:sz w:val="24"/>
          <w:szCs w:val="24"/>
        </w:rPr>
        <w:t xml:space="preserve"> of Belarus’ NIS</w:t>
      </w:r>
      <w:r w:rsidRPr="000656C3">
        <w:rPr>
          <w:rFonts w:ascii="Times New Roman" w:hAnsi="Times New Roman" w:cs="Times New Roman"/>
          <w:i/>
          <w:sz w:val="24"/>
          <w:szCs w:val="24"/>
        </w:rPr>
        <w:t>:</w:t>
      </w:r>
    </w:p>
    <w:p w:rsidR="006E02AF" w:rsidRDefault="006E02AF" w:rsidP="006E02AF">
      <w:pPr>
        <w:spacing w:after="0" w:line="240" w:lineRule="auto"/>
        <w:jc w:val="both"/>
        <w:rPr>
          <w:rFonts w:ascii="Times New Roman" w:hAnsi="Times New Roman" w:cs="Times New Roman"/>
          <w:sz w:val="24"/>
          <w:szCs w:val="24"/>
        </w:rPr>
      </w:pPr>
    </w:p>
    <w:p w:rsidR="0065669C" w:rsidRPr="0065669C" w:rsidRDefault="0065669C" w:rsidP="0065669C">
      <w:pPr>
        <w:spacing w:after="0" w:line="240" w:lineRule="auto"/>
        <w:jc w:val="both"/>
        <w:rPr>
          <w:rFonts w:ascii="Times New Roman" w:hAnsi="Times New Roman" w:cs="Times New Roman"/>
          <w:sz w:val="24"/>
          <w:szCs w:val="24"/>
        </w:rPr>
      </w:pPr>
      <w:r w:rsidRPr="0065669C">
        <w:rPr>
          <w:rFonts w:ascii="Times New Roman" w:hAnsi="Times New Roman" w:cs="Times New Roman"/>
          <w:sz w:val="24"/>
          <w:szCs w:val="24"/>
        </w:rPr>
        <w:t>The improved international ranking is explicit policy aim of Belarus</w:t>
      </w:r>
      <w:r>
        <w:rPr>
          <w:rFonts w:ascii="Times New Roman" w:hAnsi="Times New Roman" w:cs="Times New Roman"/>
          <w:sz w:val="24"/>
          <w:szCs w:val="24"/>
        </w:rPr>
        <w:t>’ authorities</w:t>
      </w:r>
      <w:r w:rsidRPr="0065669C">
        <w:rPr>
          <w:rFonts w:ascii="Times New Roman" w:hAnsi="Times New Roman" w:cs="Times New Roman"/>
          <w:sz w:val="24"/>
          <w:szCs w:val="24"/>
        </w:rPr>
        <w:t xml:space="preserve">. </w:t>
      </w:r>
      <w:r>
        <w:rPr>
          <w:rFonts w:ascii="Times New Roman" w:hAnsi="Times New Roman" w:cs="Times New Roman"/>
          <w:sz w:val="24"/>
          <w:szCs w:val="24"/>
        </w:rPr>
        <w:t>The</w:t>
      </w:r>
      <w:r w:rsidRPr="0065669C">
        <w:rPr>
          <w:rFonts w:ascii="Times New Roman" w:hAnsi="Times New Roman" w:cs="Times New Roman"/>
          <w:sz w:val="24"/>
          <w:szCs w:val="24"/>
        </w:rPr>
        <w:t xml:space="preserve"> </w:t>
      </w:r>
      <w:r>
        <w:rPr>
          <w:rFonts w:ascii="Times New Roman" w:hAnsi="Times New Roman" w:cs="Times New Roman"/>
          <w:sz w:val="24"/>
          <w:szCs w:val="24"/>
        </w:rPr>
        <w:t>NSSID-</w:t>
      </w:r>
      <w:r w:rsidRPr="0065669C">
        <w:rPr>
          <w:rFonts w:ascii="Times New Roman" w:hAnsi="Times New Roman" w:cs="Times New Roman"/>
          <w:sz w:val="24"/>
          <w:szCs w:val="24"/>
        </w:rPr>
        <w:t xml:space="preserve">2030 has targeted reaching improved positions in several of indexes and ratings until 2030. Specifically, the </w:t>
      </w:r>
      <w:r>
        <w:rPr>
          <w:rFonts w:ascii="Times New Roman" w:hAnsi="Times New Roman" w:cs="Times New Roman"/>
          <w:sz w:val="24"/>
          <w:szCs w:val="24"/>
        </w:rPr>
        <w:t>following targets are proposed to be achieved</w:t>
      </w:r>
      <w:r w:rsidRPr="0065669C">
        <w:rPr>
          <w:rFonts w:ascii="Times New Roman" w:hAnsi="Times New Roman" w:cs="Times New Roman"/>
          <w:sz w:val="24"/>
          <w:szCs w:val="24"/>
        </w:rPr>
        <w:t>:</w:t>
      </w:r>
      <w:r w:rsidR="00A3542D">
        <w:rPr>
          <w:rFonts w:ascii="Times New Roman" w:hAnsi="Times New Roman" w:cs="Times New Roman"/>
          <w:sz w:val="24"/>
          <w:szCs w:val="24"/>
        </w:rPr>
        <w:t xml:space="preserve"> </w:t>
      </w:r>
      <w:r w:rsidRPr="0065669C">
        <w:rPr>
          <w:rFonts w:ascii="Times New Roman" w:hAnsi="Times New Roman" w:cs="Times New Roman"/>
          <w:sz w:val="24"/>
          <w:szCs w:val="24"/>
        </w:rPr>
        <w:t>top 40 countries in HDI</w:t>
      </w:r>
      <w:r w:rsidR="00A3542D">
        <w:rPr>
          <w:rFonts w:ascii="Times New Roman" w:hAnsi="Times New Roman" w:cs="Times New Roman"/>
          <w:sz w:val="24"/>
          <w:szCs w:val="24"/>
        </w:rPr>
        <w:t xml:space="preserve">; </w:t>
      </w:r>
      <w:r w:rsidRPr="0065669C">
        <w:rPr>
          <w:rFonts w:ascii="Times New Roman" w:hAnsi="Times New Roman" w:cs="Times New Roman"/>
          <w:sz w:val="24"/>
          <w:szCs w:val="24"/>
        </w:rPr>
        <w:t>top 30 in Doing Business index</w:t>
      </w:r>
      <w:r w:rsidR="00A3542D">
        <w:rPr>
          <w:rFonts w:ascii="Times New Roman" w:hAnsi="Times New Roman" w:cs="Times New Roman"/>
          <w:sz w:val="24"/>
          <w:szCs w:val="24"/>
        </w:rPr>
        <w:t xml:space="preserve">; </w:t>
      </w:r>
      <w:r w:rsidRPr="0065669C">
        <w:rPr>
          <w:rFonts w:ascii="Times New Roman" w:hAnsi="Times New Roman" w:cs="Times New Roman"/>
          <w:sz w:val="24"/>
          <w:szCs w:val="24"/>
        </w:rPr>
        <w:t>top 30 in ICT index</w:t>
      </w:r>
      <w:r w:rsidR="00A3542D">
        <w:rPr>
          <w:rFonts w:ascii="Times New Roman" w:hAnsi="Times New Roman" w:cs="Times New Roman"/>
          <w:sz w:val="24"/>
          <w:szCs w:val="24"/>
        </w:rPr>
        <w:t>. Also, i</w:t>
      </w:r>
      <w:r w:rsidRPr="0065669C">
        <w:rPr>
          <w:rFonts w:ascii="Times New Roman" w:hAnsi="Times New Roman" w:cs="Times New Roman"/>
          <w:sz w:val="24"/>
          <w:szCs w:val="24"/>
        </w:rPr>
        <w:t>n 2011</w:t>
      </w:r>
      <w:r w:rsidR="00A3542D">
        <w:rPr>
          <w:rFonts w:ascii="Times New Roman" w:hAnsi="Times New Roman" w:cs="Times New Roman"/>
          <w:sz w:val="24"/>
          <w:szCs w:val="24"/>
        </w:rPr>
        <w:t>, the</w:t>
      </w:r>
      <w:r w:rsidRPr="0065669C">
        <w:rPr>
          <w:rFonts w:ascii="Times New Roman" w:hAnsi="Times New Roman" w:cs="Times New Roman"/>
          <w:sz w:val="24"/>
          <w:szCs w:val="24"/>
        </w:rPr>
        <w:t xml:space="preserve"> Council of Ministers established target to enter by 2015 into</w:t>
      </w:r>
      <w:r w:rsidR="00A3542D">
        <w:rPr>
          <w:rFonts w:ascii="Times New Roman" w:hAnsi="Times New Roman" w:cs="Times New Roman"/>
          <w:sz w:val="24"/>
          <w:szCs w:val="24"/>
        </w:rPr>
        <w:t xml:space="preserve"> the </w:t>
      </w:r>
      <w:r w:rsidRPr="0065669C">
        <w:rPr>
          <w:rFonts w:ascii="Times New Roman" w:hAnsi="Times New Roman" w:cs="Times New Roman"/>
          <w:sz w:val="24"/>
          <w:szCs w:val="24"/>
        </w:rPr>
        <w:tab/>
        <w:t>top 30 countries of Global Competitiveness Index (GCI)</w:t>
      </w:r>
      <w:r w:rsidR="00A3542D">
        <w:rPr>
          <w:rFonts w:ascii="Times New Roman" w:hAnsi="Times New Roman" w:cs="Times New Roman"/>
          <w:sz w:val="24"/>
          <w:szCs w:val="24"/>
        </w:rPr>
        <w:t xml:space="preserve">; the </w:t>
      </w:r>
      <w:r w:rsidRPr="0065669C">
        <w:rPr>
          <w:rFonts w:ascii="Times New Roman" w:hAnsi="Times New Roman" w:cs="Times New Roman"/>
          <w:sz w:val="24"/>
          <w:szCs w:val="24"/>
        </w:rPr>
        <w:t>top 50 countries of Index of Human Development</w:t>
      </w:r>
      <w:r w:rsidR="00A3542D">
        <w:rPr>
          <w:rFonts w:ascii="Times New Roman" w:hAnsi="Times New Roman" w:cs="Times New Roman"/>
          <w:sz w:val="24"/>
          <w:szCs w:val="24"/>
        </w:rPr>
        <w:t xml:space="preserve">; and the </w:t>
      </w:r>
      <w:r w:rsidRPr="0065669C">
        <w:rPr>
          <w:rFonts w:ascii="Times New Roman" w:hAnsi="Times New Roman" w:cs="Times New Roman"/>
          <w:sz w:val="24"/>
          <w:szCs w:val="24"/>
        </w:rPr>
        <w:t>top 70 countries of Economic Freedom Index</w:t>
      </w:r>
      <w:r w:rsidR="00A3542D">
        <w:rPr>
          <w:rFonts w:ascii="Times New Roman" w:hAnsi="Times New Roman" w:cs="Times New Roman"/>
          <w:sz w:val="24"/>
          <w:szCs w:val="24"/>
        </w:rPr>
        <w:t>.</w:t>
      </w:r>
    </w:p>
    <w:p w:rsidR="0065669C" w:rsidRPr="0065669C" w:rsidRDefault="0065669C" w:rsidP="0065669C">
      <w:pPr>
        <w:spacing w:after="0" w:line="240" w:lineRule="auto"/>
        <w:jc w:val="both"/>
        <w:rPr>
          <w:rFonts w:ascii="Times New Roman" w:hAnsi="Times New Roman" w:cs="Times New Roman"/>
          <w:sz w:val="24"/>
          <w:szCs w:val="24"/>
        </w:rPr>
      </w:pPr>
    </w:p>
    <w:p w:rsidR="006E02AF" w:rsidRDefault="006E02AF" w:rsidP="006E02AF">
      <w:pPr>
        <w:spacing w:after="0" w:line="240" w:lineRule="auto"/>
        <w:jc w:val="both"/>
        <w:rPr>
          <w:rFonts w:ascii="Times New Roman" w:hAnsi="Times New Roman" w:cs="Times New Roman"/>
          <w:sz w:val="24"/>
          <w:szCs w:val="24"/>
        </w:rPr>
      </w:pPr>
      <w:r w:rsidRPr="006E02AF">
        <w:rPr>
          <w:rFonts w:ascii="Times New Roman" w:hAnsi="Times New Roman" w:cs="Times New Roman"/>
          <w:sz w:val="24"/>
          <w:szCs w:val="24"/>
        </w:rPr>
        <w:t>A motivation behind the policy target to improve country’s ranking on a specific index represent a genuine wish to improve country’s performance by taking easily understood benchmark. Also, benchmarking is useful for policy purposes as it provides an international perspective on the position of the country. If used in a smart way it can provide critical and unbiased view of country’s strengths and weaknesses. However, comparisons at face value or without understanding of the underlying conceptual approach, and country differences in terms of levels of income and institutional differences may lead to misleading or irrelevant policy conclusions.</w:t>
      </w:r>
    </w:p>
    <w:p w:rsidR="00C00040" w:rsidRDefault="00C00040" w:rsidP="006E02AF">
      <w:pPr>
        <w:spacing w:after="0" w:line="240" w:lineRule="auto"/>
        <w:jc w:val="both"/>
        <w:rPr>
          <w:rFonts w:ascii="Times New Roman" w:hAnsi="Times New Roman" w:cs="Times New Roman"/>
          <w:sz w:val="24"/>
          <w:szCs w:val="24"/>
        </w:rPr>
      </w:pPr>
    </w:p>
    <w:p w:rsidR="00377C12" w:rsidRDefault="00377C12" w:rsidP="006F2E30">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rPr>
        <w:t xml:space="preserve">Firstly, </w:t>
      </w:r>
      <w:r w:rsidRPr="00C7043B">
        <w:rPr>
          <w:rFonts w:ascii="Times New Roman" w:eastAsia="Times New Roman" w:hAnsi="Times New Roman" w:cs="Times New Roman"/>
          <w:sz w:val="24"/>
          <w:szCs w:val="24"/>
        </w:rPr>
        <w:t xml:space="preserve">indicators are always poor proxies of the real processes, strengths and weaknesses. They are approximations of underlying categories and thus cannot always </w:t>
      </w:r>
      <w:r w:rsidRPr="00C7043B">
        <w:rPr>
          <w:rFonts w:ascii="Times New Roman" w:eastAsia="Times New Roman" w:hAnsi="Times New Roman" w:cs="Times New Roman"/>
          <w:noProof/>
          <w:sz w:val="24"/>
          <w:szCs w:val="24"/>
        </w:rPr>
        <w:t>be used</w:t>
      </w:r>
      <w:r w:rsidRPr="00C7043B">
        <w:rPr>
          <w:rFonts w:ascii="Times New Roman" w:eastAsia="Times New Roman" w:hAnsi="Times New Roman" w:cs="Times New Roman"/>
          <w:sz w:val="24"/>
          <w:szCs w:val="24"/>
        </w:rPr>
        <w:t xml:space="preserve"> as direct policy targets. For example, increasing R&amp;D in the context of limited local demand for RD may lead to R&amp;D capacities for which there is not real demand. </w:t>
      </w:r>
      <w:r w:rsidR="00A3542D">
        <w:rPr>
          <w:rFonts w:ascii="Times New Roman" w:eastAsia="Times New Roman" w:hAnsi="Times New Roman" w:cs="Times New Roman"/>
          <w:sz w:val="24"/>
          <w:szCs w:val="24"/>
        </w:rPr>
        <w:t>Also,</w:t>
      </w:r>
      <w:r w:rsidRPr="00C7043B">
        <w:rPr>
          <w:rFonts w:ascii="Times New Roman" w:eastAsia="Times New Roman" w:hAnsi="Times New Roman" w:cs="Times New Roman"/>
          <w:sz w:val="24"/>
          <w:szCs w:val="24"/>
        </w:rPr>
        <w:t xml:space="preserve"> composite indicators and international rankings tend to homogenise and standardise drivers of growth which are very much country, technology and income level specific. For example, innovation rankings ignore far too much non-R&amp;D and non-innovation drivers of productivity and growth which are </w:t>
      </w:r>
      <w:r w:rsidRPr="00C7043B">
        <w:rPr>
          <w:rFonts w:ascii="Times New Roman" w:eastAsia="Times New Roman" w:hAnsi="Times New Roman" w:cs="Times New Roman"/>
          <w:noProof/>
          <w:sz w:val="24"/>
          <w:szCs w:val="24"/>
        </w:rPr>
        <w:t>paramount</w:t>
      </w:r>
      <w:r w:rsidRPr="00C7043B">
        <w:rPr>
          <w:rFonts w:ascii="Times New Roman" w:eastAsia="Times New Roman" w:hAnsi="Times New Roman" w:cs="Times New Roman"/>
          <w:sz w:val="24"/>
          <w:szCs w:val="24"/>
        </w:rPr>
        <w:t xml:space="preserve"> for </w:t>
      </w:r>
      <w:r w:rsidRPr="00C7043B">
        <w:rPr>
          <w:rFonts w:ascii="Times New Roman" w:eastAsia="Times New Roman" w:hAnsi="Times New Roman" w:cs="Times New Roman"/>
          <w:noProof/>
          <w:sz w:val="24"/>
          <w:szCs w:val="24"/>
        </w:rPr>
        <w:t>middle-income</w:t>
      </w:r>
      <w:r w:rsidRPr="00C7043B">
        <w:rPr>
          <w:rFonts w:ascii="Times New Roman" w:eastAsia="Times New Roman" w:hAnsi="Times New Roman" w:cs="Times New Roman"/>
          <w:sz w:val="24"/>
          <w:szCs w:val="24"/>
        </w:rPr>
        <w:t xml:space="preserve"> economies. </w:t>
      </w:r>
    </w:p>
    <w:p w:rsidR="00A3542D" w:rsidRPr="00C7043B" w:rsidRDefault="00A3542D" w:rsidP="006F2E30">
      <w:pPr>
        <w:spacing w:after="0" w:line="240" w:lineRule="auto"/>
        <w:jc w:val="both"/>
        <w:rPr>
          <w:rFonts w:ascii="Times New Roman" w:hAnsi="Times New Roman" w:cs="Times New Roman"/>
          <w:sz w:val="24"/>
          <w:szCs w:val="24"/>
        </w:rPr>
      </w:pPr>
    </w:p>
    <w:p w:rsidR="00423ABD" w:rsidRPr="00C7043B" w:rsidRDefault="004F0866"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lastRenderedPageBreak/>
        <w:t xml:space="preserve">With this caveats, it is useful to provide an assessment of Belarus position in certain ranking that could enlighten some of the existing challenges </w:t>
      </w:r>
      <w:r w:rsidR="00C41B59" w:rsidRPr="00C7043B">
        <w:rPr>
          <w:rFonts w:ascii="Times New Roman" w:eastAsia="Times New Roman" w:hAnsi="Times New Roman" w:cs="Times New Roman"/>
          <w:sz w:val="24"/>
          <w:szCs w:val="24"/>
        </w:rPr>
        <w:t>affecting the country’s</w:t>
      </w:r>
      <w:r w:rsidRPr="00C7043B">
        <w:rPr>
          <w:rFonts w:ascii="Times New Roman" w:eastAsia="Times New Roman" w:hAnsi="Times New Roman" w:cs="Times New Roman"/>
          <w:sz w:val="24"/>
          <w:szCs w:val="24"/>
        </w:rPr>
        <w:t xml:space="preserve"> NIS.</w:t>
      </w:r>
      <w:r w:rsidR="00C41B59" w:rsidRPr="00C7043B">
        <w:rPr>
          <w:rFonts w:ascii="Times New Roman" w:eastAsia="Times New Roman" w:hAnsi="Times New Roman" w:cs="Times New Roman"/>
          <w:sz w:val="24"/>
          <w:szCs w:val="24"/>
        </w:rPr>
        <w:t xml:space="preserve"> For instance, </w:t>
      </w:r>
      <w:r w:rsidR="00423ABD" w:rsidRPr="00C7043B">
        <w:rPr>
          <w:rFonts w:ascii="Times New Roman" w:eastAsia="Times New Roman" w:hAnsi="Times New Roman" w:cs="Times New Roman"/>
          <w:sz w:val="24"/>
          <w:szCs w:val="24"/>
        </w:rPr>
        <w:t>the</w:t>
      </w:r>
      <w:r w:rsidR="00C41B59" w:rsidRPr="00C7043B">
        <w:rPr>
          <w:rFonts w:ascii="Times New Roman" w:eastAsia="Times New Roman" w:hAnsi="Times New Roman" w:cs="Times New Roman"/>
          <w:sz w:val="24"/>
          <w:szCs w:val="24"/>
        </w:rPr>
        <w:t xml:space="preserve"> Global innovation index (GII) is comprehensive statistical framework which gathers data from more than 30 sources, covering a vast spectrum of innovation drivers and Its conceptual framework stands on 8 pillars which include inputs (institutions, human capital and research, infrastructure, market sophistication, business sophistication) and outputs (knowledge and technology outputs and creative outputs)</w:t>
      </w:r>
      <w:r w:rsidR="00423ABD" w:rsidRPr="00C7043B">
        <w:rPr>
          <w:rStyle w:val="a5"/>
          <w:rFonts w:ascii="Times New Roman" w:eastAsia="Times New Roman" w:hAnsi="Times New Roman" w:cs="Times New Roman"/>
          <w:sz w:val="24"/>
          <w:szCs w:val="24"/>
        </w:rPr>
        <w:footnoteReference w:id="15"/>
      </w:r>
      <w:r w:rsidR="00C41B59" w:rsidRPr="00C7043B">
        <w:rPr>
          <w:rFonts w:ascii="Times New Roman" w:eastAsia="Times New Roman" w:hAnsi="Times New Roman" w:cs="Times New Roman"/>
          <w:sz w:val="24"/>
          <w:szCs w:val="24"/>
        </w:rPr>
        <w:t>.</w:t>
      </w:r>
    </w:p>
    <w:p w:rsidR="00423ABD" w:rsidRPr="00C7043B" w:rsidRDefault="00423ABD"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Figure 7 compares Belarus in different dimension of the Global Innovation Index to its three types of peer economies: high income aspiration peers (Austria and Israel), two ex-transition economies of Central Europe (CE) (Poland Czech R), and three CIS economies (Russia, Ukraine and Kazakhstan).</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Figure 7: Relative position of Belarus in Global innovation index 2015 in relation to three tiers of comparator economies: aspiration peers, central Europe, and CIS (expressed in GII scores)</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299D3A67" wp14:editId="0FD659FD">
            <wp:extent cx="5270500" cy="2519150"/>
            <wp:effectExtent l="19050" t="0" r="635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270500" cy="2519150"/>
                    </a:xfrm>
                    <a:prstGeom prst="rect">
                      <a:avLst/>
                    </a:prstGeom>
                    <a:noFill/>
                    <a:ln w="9525">
                      <a:noFill/>
                      <a:miter lim="800000"/>
                      <a:headEnd/>
                      <a:tailEnd/>
                    </a:ln>
                  </pic:spPr>
                </pic:pic>
              </a:graphicData>
            </a:graphic>
          </wp:inline>
        </w:drawing>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Source: Global Innovation Index 2015</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D33AE7"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The main gaps between Belarus and high-income peers (Austria/Israel) are substantial in all dimensions except</w:t>
      </w:r>
      <w:r w:rsidR="00423ABD" w:rsidRPr="00C7043B">
        <w:rPr>
          <w:rFonts w:ascii="Times New Roman" w:eastAsia="Times New Roman" w:hAnsi="Times New Roman" w:cs="Times New Roman"/>
          <w:sz w:val="24"/>
          <w:szCs w:val="24"/>
        </w:rPr>
        <w:t xml:space="preserve"> for a </w:t>
      </w:r>
      <w:r w:rsidRPr="00C7043B">
        <w:rPr>
          <w:rFonts w:ascii="Times New Roman" w:eastAsia="Times New Roman" w:hAnsi="Times New Roman" w:cs="Times New Roman"/>
          <w:sz w:val="24"/>
          <w:szCs w:val="24"/>
        </w:rPr>
        <w:t>much smaller gap regarding market sophistication</w:t>
      </w:r>
      <w:r w:rsidR="00423ABD" w:rsidRPr="00C7043B">
        <w:rPr>
          <w:rFonts w:ascii="Times New Roman" w:eastAsia="Times New Roman" w:hAnsi="Times New Roman" w:cs="Times New Roman"/>
          <w:sz w:val="24"/>
          <w:szCs w:val="24"/>
        </w:rPr>
        <w:t>,</w:t>
      </w:r>
      <w:r w:rsidRPr="00C7043B">
        <w:rPr>
          <w:rFonts w:ascii="Times New Roman" w:eastAsia="Times New Roman" w:hAnsi="Times New Roman" w:cs="Times New Roman"/>
          <w:sz w:val="24"/>
          <w:szCs w:val="24"/>
        </w:rPr>
        <w:t xml:space="preserve"> which includes proxies for credit, investments and trade and competition conditions.</w:t>
      </w:r>
      <w:r w:rsidR="00D33AE7">
        <w:rPr>
          <w:rFonts w:ascii="Times New Roman" w:eastAsia="Times New Roman" w:hAnsi="Times New Roman" w:cs="Times New Roman"/>
          <w:sz w:val="24"/>
          <w:szCs w:val="24"/>
        </w:rPr>
        <w:t xml:space="preserve"> </w:t>
      </w:r>
      <w:r w:rsidRPr="00C7043B">
        <w:rPr>
          <w:rFonts w:ascii="Times New Roman" w:eastAsia="Times New Roman" w:hAnsi="Times New Roman" w:cs="Times New Roman"/>
          <w:sz w:val="24"/>
          <w:szCs w:val="24"/>
        </w:rPr>
        <w:t>When compared to high-income peers Belarus has disproportionally worse credit constraints</w:t>
      </w:r>
      <w:r w:rsidR="00426665" w:rsidRPr="00C7043B">
        <w:rPr>
          <w:rFonts w:ascii="Times New Roman" w:eastAsia="Times New Roman" w:hAnsi="Times New Roman" w:cs="Times New Roman"/>
          <w:sz w:val="24"/>
          <w:szCs w:val="24"/>
        </w:rPr>
        <w:t>, as opposed to</w:t>
      </w:r>
      <w:r w:rsidRPr="00C7043B">
        <w:rPr>
          <w:rFonts w:ascii="Times New Roman" w:eastAsia="Times New Roman" w:hAnsi="Times New Roman" w:cs="Times New Roman"/>
          <w:sz w:val="24"/>
          <w:szCs w:val="24"/>
        </w:rPr>
        <w:t xml:space="preserve"> very favourable trade and competition conditions. </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However, the innovation capacity is driven not only by the quality of markets but also by the quality of institutions, infrastructure, human capital and business. When compared to two Central European (CE) peers Belarusians firms face much stronger constraints regarding institutions and business sophistication. This latter dimension includes knowledge intensity of the economy, innovation linkages and knowledge absorption proxies.  So, despite better </w:t>
      </w:r>
      <w:r w:rsidRPr="00C7043B">
        <w:rPr>
          <w:rFonts w:ascii="Times New Roman" w:eastAsia="Times New Roman" w:hAnsi="Times New Roman" w:cs="Times New Roman"/>
          <w:sz w:val="24"/>
          <w:szCs w:val="24"/>
        </w:rPr>
        <w:lastRenderedPageBreak/>
        <w:t>position regarding human capital</w:t>
      </w:r>
      <w:r w:rsidR="00426665" w:rsidRPr="00C7043B">
        <w:rPr>
          <w:rFonts w:ascii="Times New Roman" w:eastAsia="Times New Roman" w:hAnsi="Times New Roman" w:cs="Times New Roman"/>
          <w:sz w:val="24"/>
          <w:szCs w:val="24"/>
        </w:rPr>
        <w:t>,</w:t>
      </w:r>
      <w:r w:rsidRPr="00C7043B">
        <w:rPr>
          <w:rFonts w:ascii="Times New Roman" w:eastAsia="Times New Roman" w:hAnsi="Times New Roman" w:cs="Times New Roman"/>
          <w:sz w:val="24"/>
          <w:szCs w:val="24"/>
        </w:rPr>
        <w:t xml:space="preserve"> Belarusian firms’ face other constraints which undermine their innovation capacity. </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  </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The biggest gap between Belarus and its high income and CE peers is in terms of institutions. This factor is in GII decomposed on three dimensions: political, regulatory and business environment</w:t>
      </w:r>
      <w:r w:rsidR="00634414">
        <w:rPr>
          <w:rFonts w:ascii="Times New Roman" w:eastAsia="Times New Roman" w:hAnsi="Times New Roman" w:cs="Times New Roman"/>
          <w:sz w:val="24"/>
          <w:szCs w:val="24"/>
        </w:rPr>
        <w:t xml:space="preserve">. </w:t>
      </w:r>
      <w:r w:rsidRPr="00C7043B">
        <w:rPr>
          <w:rFonts w:ascii="Times New Roman" w:eastAsia="Times New Roman" w:hAnsi="Times New Roman" w:cs="Times New Roman"/>
          <w:sz w:val="24"/>
          <w:szCs w:val="24"/>
        </w:rPr>
        <w:t>Belarusian business faces business constraints (ease of starting business, of resolving insolvency and of paying taxes) that are not that much different from other peer economies.  So, the real differences in terms of institutions are mostly confined on differences in political (political stability, government effectiveness) and regulatory environment (regulatory quality, rule of law and costs of redundancy dismissal).</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 </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Belarus</w:t>
      </w:r>
      <w:r w:rsidR="00426665" w:rsidRPr="00C7043B">
        <w:rPr>
          <w:rFonts w:ascii="Times New Roman" w:eastAsia="Times New Roman" w:hAnsi="Times New Roman" w:cs="Times New Roman"/>
          <w:sz w:val="24"/>
          <w:szCs w:val="24"/>
        </w:rPr>
        <w:t xml:space="preserve"> also</w:t>
      </w:r>
      <w:r w:rsidRPr="00C7043B">
        <w:rPr>
          <w:rFonts w:ascii="Times New Roman" w:eastAsia="Times New Roman" w:hAnsi="Times New Roman" w:cs="Times New Roman"/>
          <w:sz w:val="24"/>
          <w:szCs w:val="24"/>
        </w:rPr>
        <w:t xml:space="preserve"> ranks very high regarding human capital and research factors. However, this aggregate hides excellent score in terms of education (education expenditure, government expenditure per pupil, school life expectancy</w:t>
      </w:r>
      <w:r w:rsidRPr="00C7043B">
        <w:rPr>
          <w:rStyle w:val="a5"/>
          <w:rFonts w:ascii="Times New Roman" w:hAnsi="Times New Roman" w:cs="Times New Roman"/>
        </w:rPr>
        <w:footnoteReference w:id="16"/>
      </w:r>
      <w:r w:rsidRPr="00C7043B">
        <w:rPr>
          <w:rFonts w:ascii="Times New Roman" w:eastAsia="Times New Roman" w:hAnsi="Times New Roman" w:cs="Times New Roman"/>
          <w:sz w:val="24"/>
          <w:szCs w:val="24"/>
        </w:rPr>
        <w:t xml:space="preserve">,  PISA results, pupil-teacher ratio in secondary education) and tertiary education (tertiary </w:t>
      </w:r>
      <w:r w:rsidR="00634414" w:rsidRPr="00C7043B">
        <w:rPr>
          <w:rFonts w:ascii="Times New Roman" w:eastAsia="Times New Roman" w:hAnsi="Times New Roman" w:cs="Times New Roman"/>
          <w:sz w:val="24"/>
          <w:szCs w:val="24"/>
        </w:rPr>
        <w:t>enrolment</w:t>
      </w:r>
      <w:r w:rsidRPr="00C7043B">
        <w:rPr>
          <w:rFonts w:ascii="Times New Roman" w:eastAsia="Times New Roman" w:hAnsi="Times New Roman" w:cs="Times New Roman"/>
          <w:sz w:val="24"/>
          <w:szCs w:val="24"/>
        </w:rPr>
        <w:t>, graduates in Science and Engineering, tertiary inbound mobility</w:t>
      </w:r>
      <w:r w:rsidRPr="00C7043B">
        <w:rPr>
          <w:rStyle w:val="a5"/>
          <w:rFonts w:ascii="Times New Roman" w:hAnsi="Times New Roman" w:cs="Times New Roman"/>
        </w:rPr>
        <w:footnoteReference w:id="17"/>
      </w:r>
      <w:r w:rsidRPr="00C7043B">
        <w:rPr>
          <w:rFonts w:ascii="Times New Roman" w:eastAsia="Times New Roman" w:hAnsi="Times New Roman" w:cs="Times New Roman"/>
          <w:sz w:val="24"/>
          <w:szCs w:val="24"/>
        </w:rPr>
        <w:t>) and the lowest position in relation to all peers in terms of R&amp;D (Researchers, GERD, QS university ranking of top 3 universities) (</w:t>
      </w:r>
      <w:r w:rsidRPr="00634414">
        <w:rPr>
          <w:rFonts w:ascii="Times New Roman" w:eastAsia="Times New Roman" w:hAnsi="Times New Roman" w:cs="Times New Roman"/>
          <w:sz w:val="24"/>
          <w:szCs w:val="24"/>
          <w:highlight w:val="yellow"/>
        </w:rPr>
        <w:t>figure 10</w:t>
      </w:r>
      <w:r w:rsidRPr="00C7043B">
        <w:rPr>
          <w:rFonts w:ascii="Times New Roman" w:eastAsia="Times New Roman" w:hAnsi="Times New Roman" w:cs="Times New Roman"/>
          <w:sz w:val="24"/>
          <w:szCs w:val="24"/>
        </w:rPr>
        <w:t xml:space="preserve">). This gap between high ranking regarding education and low R&amp;D capacity is a very important structural feature of Belarus, which has a strong impact on the level and nature of innovation capabilities. </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852910" w:rsidRDefault="00C41B59" w:rsidP="00423ABD">
      <w:pPr>
        <w:spacing w:after="0" w:line="240" w:lineRule="auto"/>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highlight w:val="yellow"/>
        </w:rPr>
        <w:t>Figure 10:</w:t>
      </w:r>
      <w:r w:rsidRPr="00852910">
        <w:rPr>
          <w:rFonts w:ascii="Times New Roman" w:eastAsia="Times New Roman" w:hAnsi="Times New Roman" w:cs="Times New Roman"/>
          <w:sz w:val="24"/>
          <w:szCs w:val="24"/>
        </w:rPr>
        <w:t xml:space="preserve"> Relative position of Belarus in relation to peer economies in terms of GII human capital and research dimensions </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33FD4071" wp14:editId="159E1050">
            <wp:extent cx="5270500" cy="2667000"/>
            <wp:effectExtent l="19050" t="0" r="635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270500" cy="2667000"/>
                    </a:xfrm>
                    <a:prstGeom prst="rect">
                      <a:avLst/>
                    </a:prstGeom>
                    <a:noFill/>
                    <a:ln w="9525">
                      <a:noFill/>
                      <a:miter lim="800000"/>
                      <a:headEnd/>
                      <a:tailEnd/>
                    </a:ln>
                  </pic:spPr>
                </pic:pic>
              </a:graphicData>
            </a:graphic>
          </wp:inline>
        </w:drawing>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Source: Global Innovation Index 2015</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The technological upgrading towards knowledge-based activities and high productivity industry based on IT skills depends much more on ICT infrastructure rather than on only physical infrastructure.  GII data show that Belarusian general infrastructure</w:t>
      </w:r>
      <w:r w:rsidRPr="00C7043B">
        <w:rPr>
          <w:rStyle w:val="a5"/>
          <w:rFonts w:ascii="Times New Roman" w:hAnsi="Times New Roman" w:cs="Times New Roman"/>
        </w:rPr>
        <w:footnoteReference w:id="18"/>
      </w:r>
      <w:r w:rsidRPr="00C7043B">
        <w:rPr>
          <w:rFonts w:ascii="Times New Roman" w:eastAsia="Times New Roman" w:hAnsi="Times New Roman" w:cs="Times New Roman"/>
          <w:sz w:val="24"/>
          <w:szCs w:val="24"/>
        </w:rPr>
        <w:t xml:space="preserve"> is much better </w:t>
      </w:r>
      <w:r w:rsidRPr="00C7043B">
        <w:rPr>
          <w:rFonts w:ascii="Times New Roman" w:eastAsia="Times New Roman" w:hAnsi="Times New Roman" w:cs="Times New Roman"/>
          <w:sz w:val="24"/>
          <w:szCs w:val="24"/>
        </w:rPr>
        <w:lastRenderedPageBreak/>
        <w:t>when compared to its ICT infrastructure.  In fact, when compared to its human capital indicators its ICT is lagging behind despite the emerging islands of growth around software industry. This is quite important as it shows that the software industry may be constrained in its future growth by poor local ICT environment infrastructure which in GII framework is measured by ICT access, ICT use, government’s online services, and online e-participation. Finally, resource efficiency and ecological sustainability are not only public goods but also a complement to knowledge-based growth. In that respect, Belarus is lagging behind and is just slightly ahead of its three CIS peers</w:t>
      </w:r>
      <w:r w:rsidRPr="00C7043B">
        <w:rPr>
          <w:rStyle w:val="a5"/>
          <w:rFonts w:ascii="Times New Roman" w:hAnsi="Times New Roman" w:cs="Times New Roman"/>
          <w:sz w:val="20"/>
        </w:rPr>
        <w:footnoteReference w:id="19"/>
      </w:r>
      <w:r w:rsidRPr="00C7043B">
        <w:rPr>
          <w:rStyle w:val="a5"/>
          <w:rFonts w:ascii="Times New Roman" w:hAnsi="Times New Roman" w:cs="Times New Roman"/>
          <w:sz w:val="20"/>
        </w:rPr>
        <w:t>.</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Figure 11: Relative position of Belarus in relation to peer economies in terms of GII infrastructure dimensions </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6BE477B2" wp14:editId="36D0CF11">
            <wp:extent cx="5156200" cy="34036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156200" cy="3403600"/>
                    </a:xfrm>
                    <a:prstGeom prst="rect">
                      <a:avLst/>
                    </a:prstGeom>
                    <a:noFill/>
                    <a:ln w="9525">
                      <a:noFill/>
                      <a:miter lim="800000"/>
                      <a:headEnd/>
                      <a:tailEnd/>
                    </a:ln>
                  </pic:spPr>
                </pic:pic>
              </a:graphicData>
            </a:graphic>
          </wp:inline>
        </w:drawing>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Source: Global Innovation Index 2015</w:t>
      </w:r>
    </w:p>
    <w:p w:rsidR="00C41B59" w:rsidRPr="00C7043B" w:rsidRDefault="00C41B59" w:rsidP="00423ABD">
      <w:pPr>
        <w:spacing w:after="0" w:line="240" w:lineRule="auto"/>
        <w:jc w:val="both"/>
        <w:rPr>
          <w:rFonts w:ascii="Times New Roman" w:eastAsia="Times New Roman" w:hAnsi="Times New Roman" w:cs="Times New Roman"/>
          <w:sz w:val="24"/>
          <w:szCs w:val="24"/>
        </w:rPr>
      </w:pPr>
    </w:p>
    <w:p w:rsidR="00C41B59" w:rsidRPr="00C7043B" w:rsidRDefault="0084317D"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In conclusion, </w:t>
      </w:r>
      <w:r w:rsidR="00C41B59" w:rsidRPr="00C7043B">
        <w:rPr>
          <w:rFonts w:ascii="Times New Roman" w:eastAsia="Times New Roman" w:hAnsi="Times New Roman" w:cs="Times New Roman"/>
          <w:sz w:val="24"/>
          <w:szCs w:val="24"/>
        </w:rPr>
        <w:t>Belarus is the most similar to its three CIS peers where it scores very similar regarding institutions, business sophistication, and creative outputs and is ahead of them regarding human capital, infrastructure, market sophistication, and knowledge and technology outputs. In overall, this results in a slightly better score of the country on the GII Index when compared to its CIS peers.</w:t>
      </w:r>
    </w:p>
    <w:p w:rsidR="00C41B59" w:rsidRPr="00C7043B" w:rsidRDefault="00C41B59" w:rsidP="00423AB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Another ranking, the EU Innovation Scoreboard (IUS), has become a dominant metrics for measuring the </w:t>
      </w:r>
      <w:r w:rsidRPr="00C7043B">
        <w:rPr>
          <w:rFonts w:ascii="Times New Roman" w:eastAsia="Times New Roman" w:hAnsi="Times New Roman" w:cs="Times New Roman"/>
          <w:noProof/>
          <w:sz w:val="24"/>
          <w:szCs w:val="24"/>
        </w:rPr>
        <w:t>progress</w:t>
      </w:r>
      <w:r w:rsidRPr="00C7043B">
        <w:rPr>
          <w:rFonts w:ascii="Times New Roman" w:eastAsia="Times New Roman" w:hAnsi="Times New Roman" w:cs="Times New Roman"/>
          <w:sz w:val="24"/>
          <w:szCs w:val="24"/>
        </w:rPr>
        <w:t xml:space="preserve"> of EU economies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their innovation performance. Its longevity, </w:t>
      </w:r>
      <w:r w:rsidRPr="00C7043B">
        <w:rPr>
          <w:rFonts w:ascii="Times New Roman" w:eastAsia="Times New Roman" w:hAnsi="Times New Roman" w:cs="Times New Roman"/>
          <w:noProof/>
          <w:sz w:val="24"/>
          <w:szCs w:val="24"/>
        </w:rPr>
        <w:t>comparability,</w:t>
      </w:r>
      <w:r w:rsidRPr="00C7043B">
        <w:rPr>
          <w:rFonts w:ascii="Times New Roman" w:eastAsia="Times New Roman" w:hAnsi="Times New Roman" w:cs="Times New Roman"/>
          <w:sz w:val="24"/>
          <w:szCs w:val="24"/>
        </w:rPr>
        <w:t xml:space="preserve"> and comprehensive coverage have made it standard composite indicator within the EU but also its coverage has spread to other economies. However, we should not forget its limits which are largely in its strong focus on R&amp;D based growth and </w:t>
      </w:r>
      <w:r w:rsidRPr="00C7043B">
        <w:rPr>
          <w:rFonts w:ascii="Times New Roman" w:eastAsia="Times New Roman" w:hAnsi="Times New Roman" w:cs="Times New Roman"/>
          <w:sz w:val="24"/>
          <w:szCs w:val="24"/>
        </w:rPr>
        <w:lastRenderedPageBreak/>
        <w:t xml:space="preserve">neglect of other innovation </w:t>
      </w:r>
      <w:r w:rsidRPr="00C7043B">
        <w:rPr>
          <w:rFonts w:ascii="Times New Roman" w:eastAsia="Times New Roman" w:hAnsi="Times New Roman" w:cs="Times New Roman"/>
          <w:noProof/>
          <w:sz w:val="24"/>
          <w:szCs w:val="24"/>
        </w:rPr>
        <w:t>modes</w:t>
      </w:r>
      <w:r w:rsidRPr="00C7043B">
        <w:rPr>
          <w:rFonts w:ascii="Times New Roman" w:eastAsia="Times New Roman" w:hAnsi="Times New Roman" w:cs="Times New Roman"/>
          <w:sz w:val="24"/>
          <w:szCs w:val="24"/>
        </w:rPr>
        <w:t xml:space="preserve"> which </w:t>
      </w:r>
      <w:r w:rsidRPr="00C7043B">
        <w:rPr>
          <w:rFonts w:ascii="Times New Roman" w:eastAsia="Times New Roman" w:hAnsi="Times New Roman" w:cs="Times New Roman"/>
          <w:noProof/>
          <w:sz w:val="24"/>
          <w:szCs w:val="24"/>
        </w:rPr>
        <w:t>are based</w:t>
      </w:r>
      <w:r w:rsidRPr="00C7043B">
        <w:rPr>
          <w:rFonts w:ascii="Times New Roman" w:eastAsia="Times New Roman" w:hAnsi="Times New Roman" w:cs="Times New Roman"/>
          <w:sz w:val="24"/>
          <w:szCs w:val="24"/>
        </w:rPr>
        <w:t xml:space="preserve"> on production practices, users’ involvement and engineering</w:t>
      </w:r>
      <w:r w:rsidRPr="00C7043B">
        <w:rPr>
          <w:rStyle w:val="a5"/>
          <w:rFonts w:ascii="Times New Roman" w:eastAsia="Times New Roman" w:hAnsi="Times New Roman" w:cs="Times New Roman"/>
          <w:sz w:val="24"/>
          <w:szCs w:val="24"/>
        </w:rPr>
        <w:footnoteReference w:id="20"/>
      </w:r>
      <w:r w:rsidRPr="00C7043B">
        <w:rPr>
          <w:rFonts w:ascii="Times New Roman" w:eastAsia="Times New Roman" w:hAnsi="Times New Roman" w:cs="Times New Roman"/>
          <w:sz w:val="24"/>
          <w:szCs w:val="24"/>
        </w:rPr>
        <w:t xml:space="preserve">.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Belarus </w:t>
      </w:r>
      <w:r w:rsidRPr="00C7043B">
        <w:rPr>
          <w:rFonts w:ascii="Times New Roman" w:eastAsia="Times New Roman" w:hAnsi="Times New Roman" w:cs="Times New Roman"/>
          <w:noProof/>
          <w:sz w:val="24"/>
          <w:szCs w:val="24"/>
        </w:rPr>
        <w:t>is not monitored</w:t>
      </w:r>
      <w:r w:rsidRPr="00C7043B">
        <w:rPr>
          <w:rFonts w:ascii="Times New Roman" w:eastAsia="Times New Roman" w:hAnsi="Times New Roman" w:cs="Times New Roman"/>
          <w:sz w:val="24"/>
          <w:szCs w:val="24"/>
        </w:rPr>
        <w:t xml:space="preserve"> through IUS. However, Belstat has produced 16 IUS indicators based on which Belarus can </w:t>
      </w:r>
      <w:r w:rsidRPr="00C7043B">
        <w:rPr>
          <w:rFonts w:ascii="Times New Roman" w:eastAsia="Times New Roman" w:hAnsi="Times New Roman" w:cs="Times New Roman"/>
          <w:noProof/>
          <w:sz w:val="24"/>
          <w:szCs w:val="24"/>
        </w:rPr>
        <w:t>be compared</w:t>
      </w:r>
      <w:r w:rsidRPr="00C7043B">
        <w:rPr>
          <w:rFonts w:ascii="Times New Roman" w:eastAsia="Times New Roman" w:hAnsi="Times New Roman" w:cs="Times New Roman"/>
          <w:sz w:val="24"/>
          <w:szCs w:val="24"/>
        </w:rPr>
        <w:t xml:space="preserve"> to the EU. </w:t>
      </w:r>
      <w:r w:rsidRPr="00C7043B">
        <w:rPr>
          <w:rFonts w:ascii="Times New Roman" w:eastAsia="Times New Roman" w:hAnsi="Times New Roman" w:cs="Times New Roman"/>
          <w:noProof/>
          <w:sz w:val="24"/>
          <w:szCs w:val="24"/>
        </w:rPr>
        <w:t>This leaves</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nine</w:t>
      </w:r>
      <w:r w:rsidRPr="00C7043B">
        <w:rPr>
          <w:rFonts w:ascii="Times New Roman" w:eastAsia="Times New Roman" w:hAnsi="Times New Roman" w:cs="Times New Roman"/>
          <w:sz w:val="24"/>
          <w:szCs w:val="24"/>
        </w:rPr>
        <w:t xml:space="preserve"> indicators that are not yet available for full comparisons. However, even this partial comparative picture offers very </w:t>
      </w:r>
      <w:r w:rsidRPr="00C7043B">
        <w:rPr>
          <w:rFonts w:ascii="Times New Roman" w:eastAsia="Times New Roman" w:hAnsi="Times New Roman" w:cs="Times New Roman"/>
          <w:noProof/>
          <w:sz w:val="24"/>
          <w:szCs w:val="24"/>
        </w:rPr>
        <w:t>policy-relevant</w:t>
      </w:r>
      <w:r w:rsidRPr="00C7043B">
        <w:rPr>
          <w:rFonts w:ascii="Times New Roman" w:eastAsia="Times New Roman" w:hAnsi="Times New Roman" w:cs="Times New Roman"/>
          <w:sz w:val="24"/>
          <w:szCs w:val="24"/>
        </w:rPr>
        <w:t xml:space="preserve"> insights.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The IUS considers human resources as one of the </w:t>
      </w:r>
      <w:r w:rsidRPr="00C7043B">
        <w:rPr>
          <w:rFonts w:ascii="Times New Roman" w:eastAsia="Times New Roman" w:hAnsi="Times New Roman" w:cs="Times New Roman"/>
          <w:noProof/>
          <w:sz w:val="24"/>
          <w:szCs w:val="24"/>
        </w:rPr>
        <w:t>key</w:t>
      </w:r>
      <w:r w:rsidRPr="00C7043B">
        <w:rPr>
          <w:rFonts w:ascii="Times New Roman" w:eastAsia="Times New Roman" w:hAnsi="Times New Roman" w:cs="Times New Roman"/>
          <w:sz w:val="24"/>
          <w:szCs w:val="24"/>
        </w:rPr>
        <w:t xml:space="preserve"> enablers of innovation and in that respect Belarus shows the </w:t>
      </w:r>
      <w:r w:rsidRPr="00C7043B">
        <w:rPr>
          <w:rFonts w:ascii="Times New Roman" w:eastAsia="Times New Roman" w:hAnsi="Times New Roman" w:cs="Times New Roman"/>
          <w:noProof/>
          <w:sz w:val="24"/>
          <w:szCs w:val="24"/>
        </w:rPr>
        <w:t>uneven</w:t>
      </w:r>
      <w:r w:rsidRPr="00C7043B">
        <w:rPr>
          <w:rFonts w:ascii="Times New Roman" w:eastAsia="Times New Roman" w:hAnsi="Times New Roman" w:cs="Times New Roman"/>
          <w:sz w:val="24"/>
          <w:szCs w:val="24"/>
        </w:rPr>
        <w:t xml:space="preserve"> picture </w:t>
      </w:r>
      <w:r w:rsidRPr="00C7043B">
        <w:rPr>
          <w:rFonts w:ascii="Times New Roman" w:eastAsia="Times New Roman" w:hAnsi="Times New Roman" w:cs="Times New Roman"/>
          <w:noProof/>
          <w:sz w:val="24"/>
          <w:szCs w:val="24"/>
        </w:rPr>
        <w:t>compared to</w:t>
      </w:r>
      <w:r w:rsidRPr="00C7043B">
        <w:rPr>
          <w:rFonts w:ascii="Times New Roman" w:eastAsia="Times New Roman" w:hAnsi="Times New Roman" w:cs="Times New Roman"/>
          <w:sz w:val="24"/>
          <w:szCs w:val="24"/>
        </w:rPr>
        <w:t xml:space="preserve"> its EU peers. Belarus scores the best </w:t>
      </w:r>
      <w:r w:rsidRPr="00C7043B">
        <w:rPr>
          <w:rFonts w:ascii="Times New Roman" w:eastAsia="Times New Roman" w:hAnsi="Times New Roman" w:cs="Times New Roman"/>
          <w:noProof/>
          <w:sz w:val="24"/>
          <w:szCs w:val="24"/>
        </w:rPr>
        <w:t>regarding the</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secondary</w:t>
      </w:r>
      <w:r w:rsidRPr="00C7043B">
        <w:rPr>
          <w:rFonts w:ascii="Times New Roman" w:eastAsia="Times New Roman" w:hAnsi="Times New Roman" w:cs="Times New Roman"/>
          <w:sz w:val="24"/>
          <w:szCs w:val="24"/>
        </w:rPr>
        <w:t xml:space="preserve"> level of education but much less well on tertiary and new doctorates.  In the </w:t>
      </w:r>
      <w:r w:rsidRPr="00C7043B">
        <w:rPr>
          <w:rFonts w:ascii="Times New Roman" w:eastAsia="Times New Roman" w:hAnsi="Times New Roman" w:cs="Times New Roman"/>
          <w:noProof/>
          <w:sz w:val="24"/>
          <w:szCs w:val="24"/>
        </w:rPr>
        <w:t>somewhat</w:t>
      </w:r>
      <w:r w:rsidRPr="00C7043B">
        <w:rPr>
          <w:rFonts w:ascii="Times New Roman" w:eastAsia="Times New Roman" w:hAnsi="Times New Roman" w:cs="Times New Roman"/>
          <w:sz w:val="24"/>
          <w:szCs w:val="24"/>
        </w:rPr>
        <w:t xml:space="preserve"> simplified </w:t>
      </w:r>
      <w:r w:rsidRPr="00C7043B">
        <w:rPr>
          <w:rFonts w:ascii="Times New Roman" w:eastAsia="Times New Roman" w:hAnsi="Times New Roman" w:cs="Times New Roman"/>
          <w:noProof/>
          <w:sz w:val="24"/>
          <w:szCs w:val="24"/>
        </w:rPr>
        <w:t>manner,</w:t>
      </w:r>
      <w:r w:rsidRPr="00C7043B">
        <w:rPr>
          <w:rFonts w:ascii="Times New Roman" w:eastAsia="Times New Roman" w:hAnsi="Times New Roman" w:cs="Times New Roman"/>
          <w:sz w:val="24"/>
          <w:szCs w:val="24"/>
        </w:rPr>
        <w:t xml:space="preserve"> we can conclude that country </w:t>
      </w:r>
      <w:r w:rsidRPr="00C7043B">
        <w:rPr>
          <w:rFonts w:ascii="Times New Roman" w:eastAsia="Times New Roman" w:hAnsi="Times New Roman" w:cs="Times New Roman"/>
          <w:noProof/>
          <w:sz w:val="24"/>
          <w:szCs w:val="24"/>
        </w:rPr>
        <w:t>is well endowed</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blue collar </w:t>
      </w:r>
      <w:r w:rsidRPr="00C7043B">
        <w:rPr>
          <w:rFonts w:ascii="Times New Roman" w:eastAsia="Times New Roman" w:hAnsi="Times New Roman" w:cs="Times New Roman"/>
          <w:noProof/>
          <w:sz w:val="24"/>
          <w:szCs w:val="24"/>
        </w:rPr>
        <w:t>skills; it</w:t>
      </w:r>
      <w:r w:rsidRPr="00C7043B">
        <w:rPr>
          <w:rFonts w:ascii="Times New Roman" w:eastAsia="Times New Roman" w:hAnsi="Times New Roman" w:cs="Times New Roman"/>
          <w:sz w:val="24"/>
          <w:szCs w:val="24"/>
        </w:rPr>
        <w:t xml:space="preserve"> is satisfactory endowed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white collar skills but much less so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R&amp;D </w:t>
      </w:r>
      <w:r w:rsidRPr="00C7043B">
        <w:rPr>
          <w:rFonts w:ascii="Times New Roman" w:eastAsia="Times New Roman" w:hAnsi="Times New Roman" w:cs="Times New Roman"/>
          <w:noProof/>
          <w:sz w:val="24"/>
          <w:szCs w:val="24"/>
        </w:rPr>
        <w:t>competencies</w:t>
      </w:r>
      <w:r w:rsidRPr="00C7043B">
        <w:rPr>
          <w:rFonts w:ascii="Times New Roman" w:eastAsia="Times New Roman" w:hAnsi="Times New Roman" w:cs="Times New Roman"/>
          <w:sz w:val="24"/>
          <w:szCs w:val="24"/>
        </w:rPr>
        <w:t xml:space="preserve">.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A comparison with its EU peers further confirms very low investments in R&amp;D by business and by public sector even when we take into account differences in income levels (figure 13).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sz w:val="24"/>
          <w:szCs w:val="24"/>
        </w:rPr>
        <w:tab/>
      </w:r>
    </w:p>
    <w:p w:rsidR="0084317D" w:rsidRPr="00852910" w:rsidRDefault="0084317D" w:rsidP="0084317D">
      <w:pPr>
        <w:spacing w:after="0" w:line="240" w:lineRule="auto"/>
        <w:contextualSpacing/>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Figure 13: R&amp;D expenditures in Belarus and the EU peer economies</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77321169" wp14:editId="56D2EC7E">
            <wp:extent cx="4591050" cy="3086100"/>
            <wp:effectExtent l="1905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4591050" cy="3086100"/>
                    </a:xfrm>
                    <a:prstGeom prst="rect">
                      <a:avLst/>
                    </a:prstGeom>
                    <a:noFill/>
                    <a:ln w="9525">
                      <a:noFill/>
                      <a:miter lim="800000"/>
                      <a:headEnd/>
                      <a:tailEnd/>
                    </a:ln>
                  </pic:spPr>
                </pic:pic>
              </a:graphicData>
            </a:graphic>
          </wp:inline>
        </w:drawing>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0"/>
          <w:szCs w:val="24"/>
        </w:rPr>
        <w:t xml:space="preserve">Source: Science and innovation activity in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2015, Statistical book, National statistical committee of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Minsk 2015</w:t>
      </w:r>
      <w:r w:rsidRPr="00C7043B">
        <w:rPr>
          <w:rFonts w:ascii="Times New Roman" w:eastAsia="Times New Roman" w:hAnsi="Times New Roman" w:cs="Times New Roman"/>
          <w:sz w:val="20"/>
          <w:szCs w:val="24"/>
        </w:rPr>
        <w:tab/>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rPr>
        <w:t>Also</w:t>
      </w:r>
      <w:r w:rsidRPr="00C7043B">
        <w:rPr>
          <w:rFonts w:ascii="Times New Roman" w:eastAsia="Times New Roman" w:hAnsi="Times New Roman" w:cs="Times New Roman"/>
          <w:sz w:val="24"/>
          <w:szCs w:val="24"/>
        </w:rPr>
        <w:t xml:space="preserve">, GERD </w:t>
      </w:r>
      <w:r w:rsidRPr="00C7043B">
        <w:rPr>
          <w:rFonts w:ascii="Times New Roman" w:eastAsia="Times New Roman" w:hAnsi="Times New Roman" w:cs="Times New Roman"/>
          <w:noProof/>
          <w:sz w:val="24"/>
          <w:szCs w:val="24"/>
        </w:rPr>
        <w:t>has</w:t>
      </w:r>
      <w:r w:rsidRPr="00C7043B">
        <w:rPr>
          <w:rFonts w:ascii="Times New Roman" w:eastAsia="Times New Roman" w:hAnsi="Times New Roman" w:cs="Times New Roman"/>
          <w:sz w:val="24"/>
          <w:szCs w:val="24"/>
        </w:rPr>
        <w:t xml:space="preserve"> not been increasing but remain at the level of around 0.7</w:t>
      </w:r>
      <w:r w:rsidR="007300BB">
        <w:rPr>
          <w:rFonts w:ascii="Times New Roman" w:eastAsia="Times New Roman" w:hAnsi="Times New Roman" w:cs="Times New Roman"/>
          <w:sz w:val="24"/>
          <w:szCs w:val="24"/>
        </w:rPr>
        <w:t xml:space="preserve"> per cent</w:t>
      </w:r>
      <w:r w:rsidRPr="00C7043B">
        <w:rPr>
          <w:rFonts w:ascii="Times New Roman" w:eastAsia="Times New Roman" w:hAnsi="Times New Roman" w:cs="Times New Roman"/>
          <w:sz w:val="24"/>
          <w:szCs w:val="24"/>
        </w:rPr>
        <w:t xml:space="preserve"> of GDP for the last 20 years (see figure 14). </w:t>
      </w:r>
      <w:r w:rsidRPr="00C7043B">
        <w:rPr>
          <w:rFonts w:ascii="Times New Roman" w:eastAsia="Times New Roman" w:hAnsi="Times New Roman" w:cs="Times New Roman"/>
          <w:noProof/>
          <w:sz w:val="24"/>
          <w:szCs w:val="24"/>
        </w:rPr>
        <w:t>This reflects</w:t>
      </w:r>
      <w:r w:rsidRPr="00C7043B">
        <w:rPr>
          <w:rFonts w:ascii="Times New Roman" w:eastAsia="Times New Roman" w:hAnsi="Times New Roman" w:cs="Times New Roman"/>
          <w:sz w:val="24"/>
          <w:szCs w:val="24"/>
        </w:rPr>
        <w:t xml:space="preserve"> a lack of strategic approach towards the </w:t>
      </w:r>
      <w:r w:rsidRPr="00C7043B">
        <w:rPr>
          <w:rFonts w:ascii="Times New Roman" w:eastAsia="Times New Roman" w:hAnsi="Times New Roman" w:cs="Times New Roman"/>
          <w:noProof/>
          <w:sz w:val="24"/>
          <w:szCs w:val="24"/>
        </w:rPr>
        <w:t>greater</w:t>
      </w:r>
      <w:r w:rsidRPr="00C7043B">
        <w:rPr>
          <w:rFonts w:ascii="Times New Roman" w:eastAsia="Times New Roman" w:hAnsi="Times New Roman" w:cs="Times New Roman"/>
          <w:sz w:val="24"/>
          <w:szCs w:val="24"/>
        </w:rPr>
        <w:t xml:space="preserve"> role of R&amp;D in innovation </w:t>
      </w:r>
      <w:r w:rsidRPr="00C7043B">
        <w:rPr>
          <w:rFonts w:ascii="Times New Roman" w:eastAsia="Times New Roman" w:hAnsi="Times New Roman" w:cs="Times New Roman"/>
          <w:noProof/>
          <w:sz w:val="24"/>
          <w:szCs w:val="24"/>
        </w:rPr>
        <w:t>and</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absorption</w:t>
      </w:r>
      <w:r w:rsidRPr="00C7043B">
        <w:rPr>
          <w:rFonts w:ascii="Times New Roman" w:eastAsia="Times New Roman" w:hAnsi="Times New Roman" w:cs="Times New Roman"/>
          <w:sz w:val="24"/>
          <w:szCs w:val="24"/>
        </w:rPr>
        <w:t xml:space="preserve"> of </w:t>
      </w:r>
      <w:r w:rsidRPr="00C7043B">
        <w:rPr>
          <w:rFonts w:ascii="Times New Roman" w:eastAsia="Times New Roman" w:hAnsi="Times New Roman" w:cs="Times New Roman"/>
          <w:noProof/>
          <w:sz w:val="24"/>
          <w:szCs w:val="24"/>
        </w:rPr>
        <w:t>foreign</w:t>
      </w:r>
      <w:r w:rsidRPr="00C7043B">
        <w:rPr>
          <w:rFonts w:ascii="Times New Roman" w:eastAsia="Times New Roman" w:hAnsi="Times New Roman" w:cs="Times New Roman"/>
          <w:sz w:val="24"/>
          <w:szCs w:val="24"/>
        </w:rPr>
        <w:t xml:space="preserve"> knowledge. </w:t>
      </w:r>
    </w:p>
    <w:p w:rsidR="00EA1812" w:rsidRPr="00C7043B" w:rsidRDefault="00EA1812" w:rsidP="0084317D">
      <w:pPr>
        <w:spacing w:after="0" w:line="240" w:lineRule="auto"/>
        <w:jc w:val="both"/>
        <w:rPr>
          <w:rFonts w:ascii="Times New Roman" w:eastAsia="Times New Roman" w:hAnsi="Times New Roman" w:cs="Times New Roman"/>
          <w:sz w:val="24"/>
          <w:szCs w:val="24"/>
        </w:rPr>
      </w:pPr>
    </w:p>
    <w:p w:rsidR="0084317D" w:rsidRPr="00852910" w:rsidRDefault="0084317D" w:rsidP="0084317D">
      <w:pPr>
        <w:spacing w:after="0" w:line="240" w:lineRule="auto"/>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Figure 14: GERD as a percentage of GDP</w:t>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lastRenderedPageBreak/>
        <w:drawing>
          <wp:inline distT="0" distB="0" distL="0" distR="0" wp14:anchorId="74C787A5" wp14:editId="25ABB808">
            <wp:extent cx="5270500" cy="3401069"/>
            <wp:effectExtent l="19050" t="0" r="635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270500" cy="3401069"/>
                    </a:xfrm>
                    <a:prstGeom prst="rect">
                      <a:avLst/>
                    </a:prstGeom>
                    <a:noFill/>
                    <a:ln w="9525">
                      <a:noFill/>
                      <a:miter lim="800000"/>
                      <a:headEnd/>
                      <a:tailEnd/>
                    </a:ln>
                  </pic:spPr>
                </pic:pic>
              </a:graphicData>
            </a:graphic>
          </wp:inline>
        </w:drawing>
      </w:r>
    </w:p>
    <w:p w:rsidR="0084317D" w:rsidRPr="00C7043B" w:rsidRDefault="0084317D" w:rsidP="0084317D">
      <w:pPr>
        <w:spacing w:after="0" w:line="240" w:lineRule="auto"/>
        <w:jc w:val="both"/>
        <w:rPr>
          <w:rFonts w:ascii="Times New Roman" w:eastAsia="Times New Roman" w:hAnsi="Times New Roman" w:cs="Times New Roman"/>
          <w:sz w:val="20"/>
          <w:szCs w:val="24"/>
        </w:rPr>
      </w:pPr>
      <w:r w:rsidRPr="00C7043B">
        <w:rPr>
          <w:rFonts w:ascii="Times New Roman" w:eastAsia="Times New Roman" w:hAnsi="Times New Roman" w:cs="Times New Roman"/>
          <w:sz w:val="20"/>
          <w:szCs w:val="24"/>
        </w:rPr>
        <w:t>Source: UNESCO S&amp;T statistics database</w:t>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Unlike Russia and </w:t>
      </w:r>
      <w:r w:rsidRPr="00C7043B">
        <w:rPr>
          <w:rFonts w:ascii="Times New Roman" w:eastAsia="Times New Roman" w:hAnsi="Times New Roman" w:cs="Times New Roman"/>
          <w:noProof/>
          <w:sz w:val="24"/>
          <w:szCs w:val="24"/>
        </w:rPr>
        <w:t>Ukraine,</w:t>
      </w:r>
      <w:r w:rsidRPr="00C7043B">
        <w:rPr>
          <w:rFonts w:ascii="Times New Roman" w:eastAsia="Times New Roman" w:hAnsi="Times New Roman" w:cs="Times New Roman"/>
          <w:sz w:val="24"/>
          <w:szCs w:val="24"/>
        </w:rPr>
        <w:t xml:space="preserve"> which had </w:t>
      </w:r>
      <w:r w:rsidRPr="00C7043B">
        <w:rPr>
          <w:rFonts w:ascii="Times New Roman" w:eastAsia="Times New Roman" w:hAnsi="Times New Roman" w:cs="Times New Roman"/>
          <w:noProof/>
          <w:sz w:val="24"/>
          <w:szCs w:val="24"/>
        </w:rPr>
        <w:t>to downsize their R&amp;D activities radically</w:t>
      </w:r>
      <w:r w:rsidRPr="00C7043B">
        <w:rPr>
          <w:rFonts w:ascii="Times New Roman" w:eastAsia="Times New Roman" w:hAnsi="Times New Roman" w:cs="Times New Roman"/>
          <w:sz w:val="24"/>
          <w:szCs w:val="24"/>
        </w:rPr>
        <w:t xml:space="preserve"> during the </w:t>
      </w:r>
      <w:r w:rsidRPr="00C7043B">
        <w:rPr>
          <w:rFonts w:ascii="Times New Roman" w:eastAsia="Times New Roman" w:hAnsi="Times New Roman" w:cs="Times New Roman"/>
          <w:noProof/>
          <w:sz w:val="24"/>
          <w:szCs w:val="24"/>
        </w:rPr>
        <w:t>transition</w:t>
      </w:r>
      <w:r w:rsidRPr="00C7043B">
        <w:rPr>
          <w:rFonts w:ascii="Times New Roman" w:eastAsia="Times New Roman" w:hAnsi="Times New Roman" w:cs="Times New Roman"/>
          <w:sz w:val="24"/>
          <w:szCs w:val="24"/>
        </w:rPr>
        <w:t xml:space="preserve"> period the shock of the </w:t>
      </w:r>
      <w:r w:rsidRPr="00C7043B">
        <w:rPr>
          <w:rFonts w:ascii="Times New Roman" w:eastAsia="Times New Roman" w:hAnsi="Times New Roman" w:cs="Times New Roman"/>
          <w:noProof/>
          <w:sz w:val="24"/>
          <w:szCs w:val="24"/>
        </w:rPr>
        <w:t>1990s</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was much less felt</w:t>
      </w:r>
      <w:r w:rsidRPr="00C7043B">
        <w:rPr>
          <w:rFonts w:ascii="Times New Roman" w:eastAsia="Times New Roman" w:hAnsi="Times New Roman" w:cs="Times New Roman"/>
          <w:sz w:val="24"/>
          <w:szCs w:val="24"/>
        </w:rPr>
        <w:t xml:space="preserve"> in Belarus R&amp;D as its share of R&amp;D personnel in the </w:t>
      </w:r>
      <w:r w:rsidRPr="00C7043B">
        <w:rPr>
          <w:rFonts w:ascii="Times New Roman" w:eastAsia="Times New Roman" w:hAnsi="Times New Roman" w:cs="Times New Roman"/>
          <w:noProof/>
          <w:sz w:val="24"/>
          <w:szCs w:val="24"/>
        </w:rPr>
        <w:t>labour</w:t>
      </w:r>
      <w:r w:rsidRPr="00C7043B">
        <w:rPr>
          <w:rFonts w:ascii="Times New Roman" w:eastAsia="Times New Roman" w:hAnsi="Times New Roman" w:cs="Times New Roman"/>
          <w:sz w:val="24"/>
          <w:szCs w:val="24"/>
        </w:rPr>
        <w:t xml:space="preserve"> force has remained at 7</w:t>
      </w:r>
      <w:r w:rsidR="007300BB">
        <w:rPr>
          <w:rFonts w:ascii="Times New Roman" w:eastAsia="Times New Roman" w:hAnsi="Times New Roman" w:cs="Times New Roman"/>
          <w:sz w:val="24"/>
          <w:szCs w:val="24"/>
        </w:rPr>
        <w:t xml:space="preserve"> per cent</w:t>
      </w:r>
      <w:r w:rsidRPr="00C7043B">
        <w:rPr>
          <w:rFonts w:ascii="Times New Roman" w:eastAsia="Times New Roman" w:hAnsi="Times New Roman" w:cs="Times New Roman"/>
          <w:sz w:val="24"/>
          <w:szCs w:val="24"/>
        </w:rPr>
        <w:t xml:space="preserve">, similar to Poland (see figure 15). </w:t>
      </w:r>
      <w:r w:rsidRPr="00C7043B">
        <w:rPr>
          <w:rFonts w:ascii="Times New Roman" w:eastAsia="Times New Roman" w:hAnsi="Times New Roman" w:cs="Times New Roman"/>
          <w:noProof/>
          <w:sz w:val="24"/>
          <w:szCs w:val="24"/>
        </w:rPr>
        <w:t>This leaves</w:t>
      </w:r>
      <w:r w:rsidRPr="00C7043B">
        <w:rPr>
          <w:rFonts w:ascii="Times New Roman" w:eastAsia="Times New Roman" w:hAnsi="Times New Roman" w:cs="Times New Roman"/>
          <w:sz w:val="24"/>
          <w:szCs w:val="24"/>
        </w:rPr>
        <w:t xml:space="preserve"> Belarus with the size of R&amp;D sector that seems far too small if it is to grow based on R&amp;D and technological capability. </w:t>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852910" w:rsidRDefault="0084317D" w:rsidP="0084317D">
      <w:pPr>
        <w:spacing w:after="0" w:line="240" w:lineRule="auto"/>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Figure 15: Total R&amp;D personnel per thousand labour force (Head Count)</w:t>
      </w: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47BFE4BF" wp14:editId="27B7450F">
            <wp:extent cx="4629149" cy="2794000"/>
            <wp:effectExtent l="19050" t="0" r="1"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629365" cy="2794130"/>
                    </a:xfrm>
                    <a:prstGeom prst="rect">
                      <a:avLst/>
                    </a:prstGeom>
                    <a:noFill/>
                    <a:ln w="9525">
                      <a:noFill/>
                      <a:miter lim="800000"/>
                      <a:headEnd/>
                      <a:tailEnd/>
                    </a:ln>
                  </pic:spPr>
                </pic:pic>
              </a:graphicData>
            </a:graphic>
          </wp:inline>
        </w:drawing>
      </w:r>
    </w:p>
    <w:p w:rsidR="0084317D" w:rsidRPr="00C7043B" w:rsidRDefault="0084317D" w:rsidP="0084317D">
      <w:pPr>
        <w:spacing w:after="0" w:line="240" w:lineRule="auto"/>
        <w:jc w:val="both"/>
        <w:rPr>
          <w:rFonts w:ascii="Times New Roman" w:eastAsia="Times New Roman" w:hAnsi="Times New Roman" w:cs="Times New Roman"/>
          <w:sz w:val="20"/>
          <w:szCs w:val="24"/>
        </w:rPr>
      </w:pPr>
      <w:r w:rsidRPr="00C7043B">
        <w:rPr>
          <w:rFonts w:ascii="Times New Roman" w:eastAsia="Times New Roman" w:hAnsi="Times New Roman" w:cs="Times New Roman"/>
          <w:sz w:val="20"/>
          <w:szCs w:val="24"/>
        </w:rPr>
        <w:t>Source: UNESCO S&amp;T statistics database</w:t>
      </w:r>
    </w:p>
    <w:p w:rsidR="0084317D" w:rsidRPr="00C7043B" w:rsidRDefault="0084317D" w:rsidP="0084317D">
      <w:pPr>
        <w:spacing w:after="0" w:line="240" w:lineRule="auto"/>
        <w:jc w:val="both"/>
        <w:rPr>
          <w:rFonts w:ascii="Times New Roman" w:eastAsia="Times New Roman" w:hAnsi="Times New Roman" w:cs="Times New Roman"/>
          <w:sz w:val="20"/>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However, what makes Belarus exceptional is that relatively small R&amp;D sector </w:t>
      </w:r>
      <w:r w:rsidRPr="00C7043B">
        <w:rPr>
          <w:rFonts w:ascii="Times New Roman" w:eastAsia="Times New Roman" w:hAnsi="Times New Roman" w:cs="Times New Roman"/>
          <w:noProof/>
          <w:sz w:val="24"/>
          <w:szCs w:val="24"/>
        </w:rPr>
        <w:t>is very strongly oriented</w:t>
      </w:r>
      <w:r w:rsidRPr="00C7043B">
        <w:rPr>
          <w:rFonts w:ascii="Times New Roman" w:eastAsia="Times New Roman" w:hAnsi="Times New Roman" w:cs="Times New Roman"/>
          <w:sz w:val="24"/>
          <w:szCs w:val="24"/>
        </w:rPr>
        <w:t xml:space="preserve"> around business enterprise sector. The difference with Poland which is very similar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relative</w:t>
      </w:r>
      <w:r w:rsidRPr="00C7043B">
        <w:rPr>
          <w:rFonts w:ascii="Times New Roman" w:eastAsia="Times New Roman" w:hAnsi="Times New Roman" w:cs="Times New Roman"/>
          <w:sz w:val="24"/>
          <w:szCs w:val="24"/>
        </w:rPr>
        <w:t xml:space="preserve"> investments and labour force in R&amp;D is striking. </w:t>
      </w:r>
      <w:r w:rsidRPr="00C7043B">
        <w:rPr>
          <w:rFonts w:ascii="Times New Roman" w:eastAsia="Times New Roman" w:hAnsi="Times New Roman" w:cs="Times New Roman"/>
          <w:noProof/>
          <w:sz w:val="24"/>
          <w:szCs w:val="24"/>
        </w:rPr>
        <w:t>Sixty-four</w:t>
      </w:r>
      <w:r w:rsidRPr="00C7043B">
        <w:rPr>
          <w:rFonts w:ascii="Times New Roman" w:eastAsia="Times New Roman" w:hAnsi="Times New Roman" w:cs="Times New Roman"/>
          <w:sz w:val="24"/>
          <w:szCs w:val="24"/>
        </w:rPr>
        <w:t xml:space="preserve"> per</w:t>
      </w:r>
      <w:r w:rsidR="00EA1812"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sz w:val="24"/>
          <w:szCs w:val="24"/>
        </w:rPr>
        <w:t xml:space="preserve">cent of Belarus R&amp;D personnel are in the </w:t>
      </w:r>
      <w:r w:rsidRPr="00C7043B">
        <w:rPr>
          <w:rFonts w:ascii="Times New Roman" w:eastAsia="Times New Roman" w:hAnsi="Times New Roman" w:cs="Times New Roman"/>
          <w:noProof/>
          <w:sz w:val="24"/>
          <w:szCs w:val="24"/>
        </w:rPr>
        <w:t>business</w:t>
      </w:r>
      <w:r w:rsidRPr="00C7043B">
        <w:rPr>
          <w:rFonts w:ascii="Times New Roman" w:eastAsia="Times New Roman" w:hAnsi="Times New Roman" w:cs="Times New Roman"/>
          <w:sz w:val="24"/>
          <w:szCs w:val="24"/>
        </w:rPr>
        <w:t xml:space="preserve"> sector (BES) while </w:t>
      </w:r>
      <w:r w:rsidRPr="00C7043B">
        <w:rPr>
          <w:rFonts w:ascii="Times New Roman" w:eastAsia="Times New Roman" w:hAnsi="Times New Roman" w:cs="Times New Roman"/>
          <w:noProof/>
          <w:sz w:val="24"/>
          <w:szCs w:val="24"/>
        </w:rPr>
        <w:t>in Poland</w:t>
      </w:r>
      <w:r w:rsidRPr="00C7043B">
        <w:rPr>
          <w:rFonts w:ascii="Times New Roman" w:eastAsia="Times New Roman" w:hAnsi="Times New Roman" w:cs="Times New Roman"/>
          <w:sz w:val="24"/>
          <w:szCs w:val="24"/>
        </w:rPr>
        <w:t xml:space="preserve"> it is only 20</w:t>
      </w:r>
      <w:r w:rsidR="00EA1812" w:rsidRPr="00C7043B">
        <w:rPr>
          <w:rFonts w:ascii="Times New Roman" w:eastAsia="Times New Roman" w:hAnsi="Times New Roman" w:cs="Times New Roman"/>
          <w:sz w:val="24"/>
          <w:szCs w:val="24"/>
        </w:rPr>
        <w:t xml:space="preserve"> </w:t>
      </w:r>
      <w:r w:rsidR="00EA1812" w:rsidRPr="00C7043B">
        <w:rPr>
          <w:rFonts w:ascii="Times New Roman" w:eastAsia="Times New Roman" w:hAnsi="Times New Roman" w:cs="Times New Roman"/>
          <w:sz w:val="24"/>
          <w:szCs w:val="24"/>
        </w:rPr>
        <w:lastRenderedPageBreak/>
        <w:t>per cent</w:t>
      </w:r>
      <w:r w:rsidR="00EA1812" w:rsidRPr="00C7043B">
        <w:rPr>
          <w:rFonts w:ascii="Times New Roman" w:hAnsi="Times New Roman" w:cs="Times New Roman"/>
        </w:rPr>
        <w:t xml:space="preserve"> </w:t>
      </w:r>
      <w:r w:rsidR="00EA1812" w:rsidRPr="00C7043B">
        <w:rPr>
          <w:rFonts w:ascii="Times New Roman" w:eastAsia="Times New Roman" w:hAnsi="Times New Roman" w:cs="Times New Roman"/>
          <w:sz w:val="24"/>
          <w:szCs w:val="24"/>
        </w:rPr>
        <w:t>according to the UNESCO S&amp;T statistics database</w:t>
      </w:r>
      <w:r w:rsidRPr="00C7043B">
        <w:rPr>
          <w:rFonts w:ascii="Times New Roman" w:eastAsia="Times New Roman" w:hAnsi="Times New Roman" w:cs="Times New Roman"/>
          <w:sz w:val="24"/>
          <w:szCs w:val="24"/>
        </w:rPr>
        <w:t xml:space="preserve">. This trend is of recent origin as </w:t>
      </w:r>
      <w:r w:rsidRPr="00C7043B">
        <w:rPr>
          <w:rFonts w:ascii="Times New Roman" w:eastAsia="Times New Roman" w:hAnsi="Times New Roman" w:cs="Times New Roman"/>
          <w:noProof/>
          <w:sz w:val="24"/>
          <w:szCs w:val="24"/>
        </w:rPr>
        <w:t>ten</w:t>
      </w:r>
      <w:r w:rsidRPr="00C7043B">
        <w:rPr>
          <w:rFonts w:ascii="Times New Roman" w:eastAsia="Times New Roman" w:hAnsi="Times New Roman" w:cs="Times New Roman"/>
          <w:sz w:val="24"/>
          <w:szCs w:val="24"/>
        </w:rPr>
        <w:t xml:space="preserve"> years earlier R&amp;D orientation towards BES was </w:t>
      </w:r>
      <w:r w:rsidRPr="00C7043B">
        <w:rPr>
          <w:rFonts w:ascii="Times New Roman" w:eastAsia="Times New Roman" w:hAnsi="Times New Roman" w:cs="Times New Roman"/>
          <w:noProof/>
          <w:sz w:val="24"/>
          <w:szCs w:val="24"/>
        </w:rPr>
        <w:t>strong</w:t>
      </w:r>
      <w:r w:rsidRPr="00C7043B">
        <w:rPr>
          <w:rFonts w:ascii="Times New Roman" w:eastAsia="Times New Roman" w:hAnsi="Times New Roman" w:cs="Times New Roman"/>
          <w:sz w:val="24"/>
          <w:szCs w:val="24"/>
        </w:rPr>
        <w:t xml:space="preserve"> but not pronounced to that extent as of today.</w:t>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Only 26</w:t>
      </w:r>
      <w:r w:rsidR="007300BB">
        <w:rPr>
          <w:rFonts w:ascii="Times New Roman" w:eastAsia="Times New Roman" w:hAnsi="Times New Roman" w:cs="Times New Roman"/>
          <w:sz w:val="24"/>
          <w:szCs w:val="24"/>
        </w:rPr>
        <w:t xml:space="preserve"> per cent</w:t>
      </w:r>
      <w:r w:rsidRPr="00C7043B">
        <w:rPr>
          <w:rFonts w:ascii="Times New Roman" w:eastAsia="Times New Roman" w:hAnsi="Times New Roman" w:cs="Times New Roman"/>
          <w:sz w:val="24"/>
          <w:szCs w:val="24"/>
        </w:rPr>
        <w:t xml:space="preserve"> of Belarusian manufacturing firms’ conduct in-house R&amp;D activities in manufacturing compared to 33</w:t>
      </w:r>
      <w:r w:rsidR="007300BB">
        <w:rPr>
          <w:rFonts w:ascii="Times New Roman" w:eastAsia="Times New Roman" w:hAnsi="Times New Roman" w:cs="Times New Roman"/>
          <w:sz w:val="24"/>
          <w:szCs w:val="24"/>
        </w:rPr>
        <w:t xml:space="preserve"> per cent</w:t>
      </w:r>
      <w:r w:rsidRPr="00C7043B">
        <w:rPr>
          <w:rFonts w:ascii="Times New Roman" w:eastAsia="Times New Roman" w:hAnsi="Times New Roman" w:cs="Times New Roman"/>
          <w:sz w:val="24"/>
          <w:szCs w:val="24"/>
        </w:rPr>
        <w:t xml:space="preserve"> Polish firms at the similar level of relative R&amp;D expenditures (figure 17). The gap is even bigger in training activities where the </w:t>
      </w:r>
      <w:r w:rsidRPr="00C7043B">
        <w:rPr>
          <w:rFonts w:ascii="Times New Roman" w:eastAsia="Times New Roman" w:hAnsi="Times New Roman" w:cs="Times New Roman"/>
          <w:noProof/>
          <w:sz w:val="24"/>
          <w:szCs w:val="24"/>
        </w:rPr>
        <w:t>frequency</w:t>
      </w:r>
      <w:r w:rsidRPr="00C7043B">
        <w:rPr>
          <w:rFonts w:ascii="Times New Roman" w:eastAsia="Times New Roman" w:hAnsi="Times New Roman" w:cs="Times New Roman"/>
          <w:sz w:val="24"/>
          <w:szCs w:val="24"/>
        </w:rPr>
        <w:t xml:space="preserve"> of these activities is well below Poland. Belarus firms also rely less on external R&amp;D. This feature is even more striking if we take into account that industry structure of Belarus </w:t>
      </w:r>
      <w:r w:rsidRPr="00C7043B">
        <w:rPr>
          <w:rFonts w:ascii="Times New Roman" w:eastAsia="Times New Roman" w:hAnsi="Times New Roman" w:cs="Times New Roman"/>
          <w:noProof/>
          <w:sz w:val="24"/>
          <w:szCs w:val="24"/>
        </w:rPr>
        <w:t>is characterised</w:t>
      </w:r>
      <w:r w:rsidRPr="00C7043B">
        <w:rPr>
          <w:rFonts w:ascii="Times New Roman" w:eastAsia="Times New Roman" w:hAnsi="Times New Roman" w:cs="Times New Roman"/>
          <w:sz w:val="24"/>
          <w:szCs w:val="24"/>
        </w:rPr>
        <w:t xml:space="preserve"> by much higher share </w:t>
      </w:r>
      <w:r w:rsidRPr="00C7043B">
        <w:rPr>
          <w:rFonts w:ascii="Times New Roman" w:eastAsia="Times New Roman" w:hAnsi="Times New Roman" w:cs="Times New Roman"/>
          <w:noProof/>
          <w:sz w:val="24"/>
          <w:szCs w:val="24"/>
        </w:rPr>
        <w:t>of big business</w:t>
      </w:r>
      <w:r w:rsidRPr="00C7043B">
        <w:rPr>
          <w:rFonts w:ascii="Times New Roman" w:eastAsia="Times New Roman" w:hAnsi="Times New Roman" w:cs="Times New Roman"/>
          <w:sz w:val="24"/>
          <w:szCs w:val="24"/>
        </w:rPr>
        <w:t xml:space="preserve"> which </w:t>
      </w:r>
      <w:r w:rsidRPr="00C7043B">
        <w:rPr>
          <w:rFonts w:ascii="Times New Roman" w:eastAsia="Times New Roman" w:hAnsi="Times New Roman" w:cs="Times New Roman"/>
          <w:noProof/>
          <w:sz w:val="24"/>
          <w:szCs w:val="24"/>
        </w:rPr>
        <w:t>is</w:t>
      </w:r>
      <w:r w:rsidRPr="00C7043B">
        <w:rPr>
          <w:rFonts w:ascii="Times New Roman" w:eastAsia="Times New Roman" w:hAnsi="Times New Roman" w:cs="Times New Roman"/>
          <w:sz w:val="24"/>
          <w:szCs w:val="24"/>
        </w:rPr>
        <w:t xml:space="preserve"> usually by and large R&amp;D active.</w:t>
      </w:r>
    </w:p>
    <w:p w:rsidR="0084317D" w:rsidRPr="00C7043B" w:rsidRDefault="0084317D" w:rsidP="00852910">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ab/>
      </w:r>
    </w:p>
    <w:p w:rsidR="0084317D" w:rsidRPr="00852910" w:rsidRDefault="0084317D" w:rsidP="0084317D">
      <w:pPr>
        <w:spacing w:after="0" w:line="240" w:lineRule="auto"/>
        <w:jc w:val="both"/>
        <w:outlineLvl w:val="1"/>
        <w:rPr>
          <w:rFonts w:ascii="Times New Roman" w:eastAsia="Times New Roman" w:hAnsi="Times New Roman" w:cs="Times New Roman"/>
          <w:sz w:val="24"/>
          <w:szCs w:val="24"/>
        </w:rPr>
      </w:pPr>
      <w:bookmarkStart w:id="4" w:name="_Toc452459473"/>
      <w:bookmarkStart w:id="5" w:name="_Toc455495216"/>
      <w:r w:rsidRPr="00852910">
        <w:rPr>
          <w:rFonts w:ascii="Times New Roman" w:eastAsia="Times New Roman" w:hAnsi="Times New Roman" w:cs="Times New Roman"/>
          <w:sz w:val="24"/>
          <w:szCs w:val="24"/>
        </w:rPr>
        <w:t>Figure 17:  Share of manufacturing firms that are engaged in in-house, and contract RD and training activities, 2012</w:t>
      </w:r>
      <w:bookmarkEnd w:id="4"/>
      <w:bookmarkEnd w:id="5"/>
    </w:p>
    <w:p w:rsidR="0084317D" w:rsidRPr="00C7043B" w:rsidRDefault="0084317D" w:rsidP="0084317D">
      <w:pPr>
        <w:spacing w:after="0" w:line="240" w:lineRule="auto"/>
        <w:jc w:val="both"/>
        <w:outlineLvl w:val="1"/>
        <w:rPr>
          <w:rFonts w:ascii="Times New Roman" w:eastAsia="Times New Roman" w:hAnsi="Times New Roman" w:cs="Times New Roman"/>
          <w:sz w:val="24"/>
          <w:szCs w:val="24"/>
        </w:rPr>
      </w:pPr>
      <w:bookmarkStart w:id="6" w:name="_Toc455495217"/>
      <w:r w:rsidRPr="00C7043B">
        <w:rPr>
          <w:rFonts w:ascii="Times New Roman" w:eastAsia="Times New Roman" w:hAnsi="Times New Roman" w:cs="Times New Roman"/>
          <w:noProof/>
          <w:sz w:val="24"/>
          <w:szCs w:val="24"/>
          <w:lang w:val="ru-RU" w:eastAsia="ru-RU"/>
        </w:rPr>
        <w:drawing>
          <wp:inline distT="0" distB="0" distL="0" distR="0" wp14:anchorId="0879792A" wp14:editId="3729E25A">
            <wp:extent cx="5270500" cy="2941927"/>
            <wp:effectExtent l="19050" t="0" r="6350" b="0"/>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5270500" cy="2941927"/>
                    </a:xfrm>
                    <a:prstGeom prst="rect">
                      <a:avLst/>
                    </a:prstGeom>
                    <a:noFill/>
                    <a:ln w="9525">
                      <a:noFill/>
                      <a:miter lim="800000"/>
                      <a:headEnd/>
                      <a:tailEnd/>
                    </a:ln>
                  </pic:spPr>
                </pic:pic>
              </a:graphicData>
            </a:graphic>
          </wp:inline>
        </w:drawing>
      </w:r>
      <w:bookmarkEnd w:id="6"/>
    </w:p>
    <w:p w:rsidR="0084317D" w:rsidRPr="00C7043B" w:rsidRDefault="0084317D" w:rsidP="0084317D">
      <w:pPr>
        <w:spacing w:after="0" w:line="240" w:lineRule="auto"/>
        <w:jc w:val="both"/>
        <w:outlineLvl w:val="1"/>
        <w:rPr>
          <w:rFonts w:ascii="Times New Roman" w:eastAsia="Times New Roman" w:hAnsi="Times New Roman" w:cs="Times New Roman"/>
          <w:sz w:val="20"/>
          <w:szCs w:val="24"/>
        </w:rPr>
      </w:pPr>
      <w:bookmarkStart w:id="7" w:name="_Toc452459474"/>
      <w:bookmarkStart w:id="8" w:name="_Toc455495218"/>
      <w:r w:rsidRPr="00C7043B">
        <w:rPr>
          <w:rFonts w:ascii="Times New Roman" w:eastAsia="Times New Roman" w:hAnsi="Times New Roman" w:cs="Times New Roman"/>
          <w:sz w:val="20"/>
          <w:szCs w:val="24"/>
        </w:rPr>
        <w:t>Source: UNESCO database</w:t>
      </w:r>
      <w:bookmarkEnd w:id="7"/>
      <w:bookmarkEnd w:id="8"/>
      <w:r w:rsidRPr="00C7043B">
        <w:rPr>
          <w:rFonts w:ascii="Times New Roman" w:eastAsia="Times New Roman" w:hAnsi="Times New Roman" w:cs="Times New Roman"/>
          <w:sz w:val="20"/>
          <w:szCs w:val="24"/>
        </w:rPr>
        <w:t xml:space="preserve"> </w:t>
      </w:r>
    </w:p>
    <w:p w:rsidR="0084317D" w:rsidRPr="00C7043B" w:rsidRDefault="0084317D" w:rsidP="0084317D">
      <w:pPr>
        <w:spacing w:after="0" w:line="240" w:lineRule="auto"/>
        <w:jc w:val="both"/>
        <w:rPr>
          <w:rFonts w:ascii="Times New Roman" w:eastAsia="Times New Roman" w:hAnsi="Times New Roman" w:cs="Times New Roman"/>
          <w:sz w:val="24"/>
          <w:szCs w:val="24"/>
        </w:rPr>
      </w:pPr>
    </w:p>
    <w:p w:rsidR="0084317D" w:rsidRPr="00C7043B" w:rsidRDefault="0084317D" w:rsidP="0084317D">
      <w:pPr>
        <w:spacing w:after="0" w:line="240" w:lineRule="auto"/>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However, as</w:t>
      </w:r>
      <w:r w:rsidR="00EA1812" w:rsidRPr="00C7043B">
        <w:rPr>
          <w:rFonts w:ascii="Times New Roman" w:eastAsia="Times New Roman" w:hAnsi="Times New Roman" w:cs="Times New Roman"/>
          <w:sz w:val="24"/>
          <w:szCs w:val="24"/>
        </w:rPr>
        <w:t xml:space="preserve"> already</w:t>
      </w:r>
      <w:r w:rsidRPr="00C7043B">
        <w:rPr>
          <w:rFonts w:ascii="Times New Roman" w:eastAsia="Times New Roman" w:hAnsi="Times New Roman" w:cs="Times New Roman"/>
          <w:sz w:val="24"/>
          <w:szCs w:val="24"/>
        </w:rPr>
        <w:t xml:space="preserve"> pointed out in </w:t>
      </w:r>
      <w:r w:rsidR="00EA1812" w:rsidRPr="00C7043B">
        <w:rPr>
          <w:rFonts w:ascii="Times New Roman" w:eastAsia="Times New Roman" w:hAnsi="Times New Roman" w:cs="Times New Roman"/>
          <w:sz w:val="24"/>
          <w:szCs w:val="24"/>
        </w:rPr>
        <w:t xml:space="preserve">the first innovation performance review of </w:t>
      </w:r>
      <w:r w:rsidRPr="00C7043B">
        <w:rPr>
          <w:rFonts w:ascii="Times New Roman" w:eastAsia="Times New Roman" w:hAnsi="Times New Roman" w:cs="Times New Roman"/>
          <w:sz w:val="24"/>
          <w:szCs w:val="24"/>
        </w:rPr>
        <w:t>Belarus (UNECE, 2010</w:t>
      </w:r>
      <w:r w:rsidR="00EA1812" w:rsidRPr="00C7043B">
        <w:rPr>
          <w:rFonts w:ascii="Times New Roman" w:eastAsia="Times New Roman" w:hAnsi="Times New Roman" w:cs="Times New Roman"/>
          <w:sz w:val="24"/>
          <w:szCs w:val="24"/>
        </w:rPr>
        <w:t>)</w:t>
      </w:r>
      <w:r w:rsidRPr="00C7043B">
        <w:rPr>
          <w:rFonts w:ascii="Times New Roman" w:eastAsia="Times New Roman" w:hAnsi="Times New Roman" w:cs="Times New Roman"/>
          <w:sz w:val="24"/>
          <w:szCs w:val="24"/>
        </w:rPr>
        <w:t xml:space="preserve">, when compared to other </w:t>
      </w:r>
      <w:r w:rsidRPr="00C7043B">
        <w:rPr>
          <w:rFonts w:ascii="Times New Roman" w:eastAsia="Times New Roman" w:hAnsi="Times New Roman" w:cs="Times New Roman"/>
          <w:noProof/>
          <w:sz w:val="24"/>
          <w:szCs w:val="24"/>
        </w:rPr>
        <w:t>countries,</w:t>
      </w:r>
      <w:r w:rsidRPr="00C7043B">
        <w:rPr>
          <w:rFonts w:ascii="Times New Roman" w:eastAsia="Times New Roman" w:hAnsi="Times New Roman" w:cs="Times New Roman"/>
          <w:sz w:val="24"/>
          <w:szCs w:val="24"/>
        </w:rPr>
        <w:t xml:space="preserve"> local firms are </w:t>
      </w:r>
      <w:r w:rsidRPr="00C7043B">
        <w:rPr>
          <w:rFonts w:ascii="Times New Roman" w:eastAsia="Times New Roman" w:hAnsi="Times New Roman" w:cs="Times New Roman"/>
          <w:noProof/>
          <w:sz w:val="24"/>
          <w:szCs w:val="24"/>
        </w:rPr>
        <w:t>innovation-active</w:t>
      </w:r>
      <w:r w:rsidRPr="00C7043B">
        <w:rPr>
          <w:rFonts w:ascii="Times New Roman" w:eastAsia="Times New Roman" w:hAnsi="Times New Roman" w:cs="Times New Roman"/>
          <w:sz w:val="24"/>
          <w:szCs w:val="24"/>
        </w:rPr>
        <w:t xml:space="preserve">. Figure 18 below shows that share of innovative </w:t>
      </w:r>
      <w:r w:rsidRPr="00C7043B">
        <w:rPr>
          <w:rFonts w:ascii="Times New Roman" w:eastAsia="Times New Roman" w:hAnsi="Times New Roman" w:cs="Times New Roman"/>
          <w:noProof/>
          <w:sz w:val="24"/>
          <w:szCs w:val="24"/>
        </w:rPr>
        <w:t>companies</w:t>
      </w:r>
      <w:r w:rsidRPr="00C7043B">
        <w:rPr>
          <w:rFonts w:ascii="Times New Roman" w:eastAsia="Times New Roman" w:hAnsi="Times New Roman" w:cs="Times New Roman"/>
          <w:sz w:val="24"/>
          <w:szCs w:val="24"/>
        </w:rPr>
        <w:t xml:space="preserve"> and the commercial importance of innovation is above Poland and Russia in both respects.  Although with a </w:t>
      </w:r>
      <w:r w:rsidRPr="00C7043B">
        <w:rPr>
          <w:rFonts w:ascii="Times New Roman" w:eastAsia="Times New Roman" w:hAnsi="Times New Roman" w:cs="Times New Roman"/>
          <w:noProof/>
          <w:sz w:val="24"/>
          <w:szCs w:val="24"/>
        </w:rPr>
        <w:t>lower</w:t>
      </w:r>
      <w:r w:rsidRPr="00C7043B">
        <w:rPr>
          <w:rFonts w:ascii="Times New Roman" w:eastAsia="Times New Roman" w:hAnsi="Times New Roman" w:cs="Times New Roman"/>
          <w:sz w:val="24"/>
          <w:szCs w:val="24"/>
        </w:rPr>
        <w:t xml:space="preserve"> share of innovative firms when compared to other EU peer economies the </w:t>
      </w:r>
      <w:r w:rsidRPr="00C7043B">
        <w:rPr>
          <w:rFonts w:ascii="Times New Roman" w:eastAsia="Times New Roman" w:hAnsi="Times New Roman" w:cs="Times New Roman"/>
          <w:noProof/>
          <w:sz w:val="24"/>
          <w:szCs w:val="24"/>
        </w:rPr>
        <w:t>business</w:t>
      </w:r>
      <w:r w:rsidRPr="00C7043B">
        <w:rPr>
          <w:rFonts w:ascii="Times New Roman" w:eastAsia="Times New Roman" w:hAnsi="Times New Roman" w:cs="Times New Roman"/>
          <w:sz w:val="24"/>
          <w:szCs w:val="24"/>
        </w:rPr>
        <w:t xml:space="preserve"> relevance of innovation activities of Belarusian firms is higher than in Slovenia, </w:t>
      </w:r>
      <w:r w:rsidRPr="00C7043B">
        <w:rPr>
          <w:rFonts w:ascii="Times New Roman" w:eastAsia="Times New Roman" w:hAnsi="Times New Roman" w:cs="Times New Roman"/>
          <w:noProof/>
          <w:sz w:val="24"/>
          <w:szCs w:val="24"/>
        </w:rPr>
        <w:t>Ireland,</w:t>
      </w:r>
      <w:r w:rsidRPr="00C7043B">
        <w:rPr>
          <w:rFonts w:ascii="Times New Roman" w:eastAsia="Times New Roman" w:hAnsi="Times New Roman" w:cs="Times New Roman"/>
          <w:sz w:val="24"/>
          <w:szCs w:val="24"/>
        </w:rPr>
        <w:t xml:space="preserve"> and Austria. So, Belarusian firms are </w:t>
      </w:r>
      <w:r w:rsidRPr="00C7043B">
        <w:rPr>
          <w:rFonts w:ascii="Times New Roman" w:eastAsia="Times New Roman" w:hAnsi="Times New Roman" w:cs="Times New Roman"/>
          <w:noProof/>
          <w:sz w:val="24"/>
          <w:szCs w:val="24"/>
        </w:rPr>
        <w:t>innovation-active,</w:t>
      </w:r>
      <w:r w:rsidRPr="00C7043B">
        <w:rPr>
          <w:rFonts w:ascii="Times New Roman" w:eastAsia="Times New Roman" w:hAnsi="Times New Roman" w:cs="Times New Roman"/>
          <w:sz w:val="24"/>
          <w:szCs w:val="24"/>
        </w:rPr>
        <w:t xml:space="preserve"> but the nature of their innovation activities is very much non-R&amp;D oriented (</w:t>
      </w:r>
      <w:r w:rsidRPr="007059ED">
        <w:rPr>
          <w:rFonts w:ascii="Times New Roman" w:eastAsia="Times New Roman" w:hAnsi="Times New Roman" w:cs="Times New Roman"/>
          <w:sz w:val="24"/>
          <w:szCs w:val="24"/>
          <w:highlight w:val="yellow"/>
        </w:rPr>
        <w:t xml:space="preserve">see </w:t>
      </w:r>
      <w:r w:rsidRPr="007059ED">
        <w:rPr>
          <w:rFonts w:ascii="Times New Roman" w:eastAsia="Times New Roman" w:hAnsi="Times New Roman" w:cs="Times New Roman"/>
          <w:noProof/>
          <w:sz w:val="24"/>
          <w:szCs w:val="24"/>
          <w:highlight w:val="yellow"/>
        </w:rPr>
        <w:t>Table</w:t>
      </w:r>
      <w:r w:rsidRPr="007059ED">
        <w:rPr>
          <w:rFonts w:ascii="Times New Roman" w:eastAsia="Times New Roman" w:hAnsi="Times New Roman" w:cs="Times New Roman"/>
          <w:sz w:val="24"/>
          <w:szCs w:val="24"/>
          <w:highlight w:val="yellow"/>
        </w:rPr>
        <w:t xml:space="preserve"> 7).</w:t>
      </w:r>
      <w:r w:rsidRPr="00C7043B">
        <w:rPr>
          <w:rFonts w:ascii="Times New Roman" w:eastAsia="Times New Roman" w:hAnsi="Times New Roman" w:cs="Times New Roman"/>
          <w:sz w:val="24"/>
          <w:szCs w:val="24"/>
        </w:rPr>
        <w:t xml:space="preserve"> </w:t>
      </w:r>
    </w:p>
    <w:p w:rsidR="0084317D" w:rsidRPr="00C7043B" w:rsidRDefault="0084317D" w:rsidP="0084317D">
      <w:pPr>
        <w:spacing w:after="0" w:line="240" w:lineRule="auto"/>
        <w:ind w:left="720"/>
        <w:contextualSpacing/>
        <w:jc w:val="both"/>
        <w:rPr>
          <w:rFonts w:ascii="Times New Roman" w:eastAsia="Times New Roman" w:hAnsi="Times New Roman" w:cs="Times New Roman"/>
          <w:sz w:val="24"/>
          <w:szCs w:val="24"/>
        </w:rPr>
      </w:pPr>
    </w:p>
    <w:p w:rsidR="0084317D" w:rsidRPr="00852910" w:rsidRDefault="0084317D" w:rsidP="0084317D">
      <w:pPr>
        <w:spacing w:after="0" w:line="240" w:lineRule="auto"/>
        <w:jc w:val="both"/>
        <w:outlineLvl w:val="1"/>
        <w:rPr>
          <w:rFonts w:ascii="Times New Roman" w:eastAsia="Times New Roman" w:hAnsi="Times New Roman" w:cs="Times New Roman"/>
          <w:sz w:val="24"/>
          <w:szCs w:val="24"/>
        </w:rPr>
      </w:pPr>
      <w:bookmarkStart w:id="9" w:name="_Toc452459475"/>
      <w:bookmarkStart w:id="10" w:name="_Toc455495219"/>
      <w:r w:rsidRPr="00852910">
        <w:rPr>
          <w:rFonts w:ascii="Times New Roman" w:eastAsia="Times New Roman" w:hAnsi="Times New Roman" w:cs="Times New Roman"/>
          <w:sz w:val="24"/>
          <w:szCs w:val="24"/>
        </w:rPr>
        <w:t>Figure 18: Frequency vs. commercial importance of innovations, 2014 or the latest available year</w:t>
      </w:r>
      <w:bookmarkEnd w:id="9"/>
      <w:bookmarkEnd w:id="10"/>
    </w:p>
    <w:p w:rsidR="0084317D" w:rsidRPr="00C7043B" w:rsidRDefault="0084317D" w:rsidP="0084317D">
      <w:pPr>
        <w:spacing w:after="0" w:line="240" w:lineRule="auto"/>
        <w:jc w:val="both"/>
        <w:outlineLvl w:val="1"/>
        <w:rPr>
          <w:rFonts w:ascii="Times New Roman" w:eastAsia="Times New Roman" w:hAnsi="Times New Roman" w:cs="Times New Roman"/>
          <w:sz w:val="24"/>
          <w:szCs w:val="24"/>
        </w:rPr>
      </w:pPr>
      <w:bookmarkStart w:id="11" w:name="_Toc455495220"/>
      <w:r w:rsidRPr="00C7043B">
        <w:rPr>
          <w:rFonts w:ascii="Times New Roman" w:eastAsia="Times New Roman" w:hAnsi="Times New Roman" w:cs="Times New Roman"/>
          <w:noProof/>
          <w:sz w:val="24"/>
          <w:szCs w:val="24"/>
          <w:lang w:val="ru-RU" w:eastAsia="ru-RU"/>
        </w:rPr>
        <w:lastRenderedPageBreak/>
        <w:drawing>
          <wp:inline distT="0" distB="0" distL="0" distR="0" wp14:anchorId="2FCD4996" wp14:editId="718CBC42">
            <wp:extent cx="5269881" cy="2533650"/>
            <wp:effectExtent l="19050" t="0" r="696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270500" cy="2533947"/>
                    </a:xfrm>
                    <a:prstGeom prst="rect">
                      <a:avLst/>
                    </a:prstGeom>
                    <a:noFill/>
                    <a:ln w="9525">
                      <a:noFill/>
                      <a:miter lim="800000"/>
                      <a:headEnd/>
                      <a:tailEnd/>
                    </a:ln>
                  </pic:spPr>
                </pic:pic>
              </a:graphicData>
            </a:graphic>
          </wp:inline>
        </w:drawing>
      </w:r>
      <w:bookmarkEnd w:id="11"/>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0"/>
          <w:szCs w:val="24"/>
        </w:rPr>
        <w:t xml:space="preserve">Source: Science and innovation activity in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2015, Statistical book, National statistical committee of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Minsk 2015</w:t>
      </w:r>
    </w:p>
    <w:p w:rsidR="0084317D" w:rsidRPr="00C7043B" w:rsidRDefault="0084317D" w:rsidP="0084317D">
      <w:pPr>
        <w:spacing w:after="0" w:line="240" w:lineRule="auto"/>
        <w:ind w:left="720"/>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7059ED">
        <w:rPr>
          <w:rFonts w:ascii="Times New Roman" w:eastAsia="Times New Roman" w:hAnsi="Times New Roman" w:cs="Times New Roman"/>
          <w:sz w:val="24"/>
          <w:szCs w:val="24"/>
          <w:highlight w:val="yellow"/>
        </w:rPr>
        <w:t>Table 7</w:t>
      </w:r>
      <w:r w:rsidRPr="00C7043B">
        <w:rPr>
          <w:rFonts w:ascii="Times New Roman" w:eastAsia="Times New Roman" w:hAnsi="Times New Roman" w:cs="Times New Roman"/>
          <w:sz w:val="24"/>
          <w:szCs w:val="24"/>
        </w:rPr>
        <w:t xml:space="preserve"> below shows that innovation activities of Belarus firms </w:t>
      </w:r>
      <w:r w:rsidRPr="00C7043B">
        <w:rPr>
          <w:rFonts w:ascii="Times New Roman" w:eastAsia="Times New Roman" w:hAnsi="Times New Roman" w:cs="Times New Roman"/>
          <w:noProof/>
          <w:sz w:val="24"/>
          <w:szCs w:val="24"/>
        </w:rPr>
        <w:t>are characterised</w:t>
      </w:r>
      <w:r w:rsidRPr="00C7043B">
        <w:rPr>
          <w:rFonts w:ascii="Times New Roman" w:eastAsia="Times New Roman" w:hAnsi="Times New Roman" w:cs="Times New Roman"/>
          <w:sz w:val="24"/>
          <w:szCs w:val="24"/>
        </w:rPr>
        <w:t xml:space="preserve"> by exceptionally high share of non-R&amp;D innovation expenditures. So, innovation in Belarus is largely about the </w:t>
      </w:r>
      <w:r w:rsidRPr="00C7043B">
        <w:rPr>
          <w:rFonts w:ascii="Times New Roman" w:eastAsia="Times New Roman" w:hAnsi="Times New Roman" w:cs="Times New Roman"/>
          <w:noProof/>
          <w:sz w:val="24"/>
          <w:szCs w:val="24"/>
        </w:rPr>
        <w:t>acquisition</w:t>
      </w:r>
      <w:r w:rsidRPr="00C7043B">
        <w:rPr>
          <w:rFonts w:ascii="Times New Roman" w:eastAsia="Times New Roman" w:hAnsi="Times New Roman" w:cs="Times New Roman"/>
          <w:sz w:val="24"/>
          <w:szCs w:val="24"/>
        </w:rPr>
        <w:t xml:space="preserve"> of equipment and machinery rather than about intangible activities like R&amp;D and training</w:t>
      </w:r>
      <w:r w:rsidR="00EA1812" w:rsidRPr="00C7043B">
        <w:rPr>
          <w:rFonts w:ascii="Times New Roman" w:eastAsia="Times New Roman" w:hAnsi="Times New Roman" w:cs="Times New Roman"/>
          <w:sz w:val="24"/>
          <w:szCs w:val="24"/>
        </w:rPr>
        <w:t xml:space="preserve"> (see also chapter 4)</w:t>
      </w:r>
      <w:r w:rsidRPr="00C7043B">
        <w:rPr>
          <w:rFonts w:ascii="Times New Roman" w:eastAsia="Times New Roman" w:hAnsi="Times New Roman" w:cs="Times New Roman"/>
          <w:sz w:val="24"/>
          <w:szCs w:val="24"/>
        </w:rPr>
        <w:t xml:space="preserve">. When Belarus firms innovate their innovation activities are production </w:t>
      </w:r>
      <w:r w:rsidRPr="00C7043B">
        <w:rPr>
          <w:rFonts w:ascii="Times New Roman" w:eastAsia="Times New Roman" w:hAnsi="Times New Roman" w:cs="Times New Roman"/>
          <w:noProof/>
          <w:sz w:val="24"/>
          <w:szCs w:val="24"/>
        </w:rPr>
        <w:t>oriented,</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i.e.,</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geared</w:t>
      </w:r>
      <w:r w:rsidRPr="00C7043B">
        <w:rPr>
          <w:rFonts w:ascii="Times New Roman" w:eastAsia="Times New Roman" w:hAnsi="Times New Roman" w:cs="Times New Roman"/>
          <w:sz w:val="24"/>
          <w:szCs w:val="24"/>
        </w:rPr>
        <w:t xml:space="preserve"> towards improved manufacturing processes (see also </w:t>
      </w:r>
      <w:r w:rsidRPr="00C7043B">
        <w:rPr>
          <w:rFonts w:ascii="Times New Roman" w:eastAsia="Times New Roman" w:hAnsi="Times New Roman" w:cs="Times New Roman"/>
          <w:noProof/>
          <w:sz w:val="24"/>
          <w:szCs w:val="24"/>
        </w:rPr>
        <w:t>Table</w:t>
      </w:r>
      <w:r w:rsidRPr="00C7043B">
        <w:rPr>
          <w:rFonts w:ascii="Times New Roman" w:eastAsia="Times New Roman" w:hAnsi="Times New Roman" w:cs="Times New Roman"/>
          <w:sz w:val="24"/>
          <w:szCs w:val="24"/>
        </w:rPr>
        <w:t xml:space="preserve"> 9 below).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52910">
      <w:pPr>
        <w:spacing w:after="0" w:line="240" w:lineRule="auto"/>
        <w:contextualSpacing/>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Table 7: Non-R&amp;D innovation expenditures as share of turnover in Belarus and EU Peers</w:t>
      </w:r>
      <w:r w:rsidRPr="00852910">
        <w:rPr>
          <w:rFonts w:ascii="Times New Roman" w:eastAsia="Times New Roman" w:hAnsi="Times New Roman" w:cs="Times New Roman"/>
          <w:sz w:val="24"/>
          <w:szCs w:val="24"/>
        </w:rPr>
        <w:tab/>
      </w:r>
      <w:r w:rsidRPr="00852910">
        <w:rPr>
          <w:rFonts w:ascii="Times New Roman" w:eastAsia="Times New Roman" w:hAnsi="Times New Roman" w:cs="Times New Roman"/>
          <w:sz w:val="24"/>
          <w:szCs w:val="24"/>
        </w:rPr>
        <w:tab/>
      </w:r>
    </w:p>
    <w:tbl>
      <w:tblPr>
        <w:tblStyle w:val="TableGrid4"/>
        <w:tblW w:w="0" w:type="auto"/>
        <w:tblLayout w:type="fixed"/>
        <w:tblLook w:val="04A0" w:firstRow="1" w:lastRow="0" w:firstColumn="1" w:lastColumn="0" w:noHBand="0" w:noVBand="1"/>
      </w:tblPr>
      <w:tblGrid>
        <w:gridCol w:w="2081"/>
        <w:gridCol w:w="2563"/>
      </w:tblGrid>
      <w:tr w:rsidR="0084317D" w:rsidRPr="00C7043B" w:rsidTr="0084317D">
        <w:trPr>
          <w:trHeight w:val="1010"/>
        </w:trPr>
        <w:tc>
          <w:tcPr>
            <w:tcW w:w="2081" w:type="dxa"/>
          </w:tcPr>
          <w:p w:rsidR="0084317D" w:rsidRPr="00C7043B" w:rsidRDefault="0084317D" w:rsidP="0084317D">
            <w:pPr>
              <w:ind w:left="720"/>
              <w:contextualSpacing/>
              <w:jc w:val="both"/>
              <w:rPr>
                <w:rFonts w:ascii="Times New Roman" w:hAnsi="Times New Roman" w:cs="Times New Roman"/>
              </w:rPr>
            </w:pP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Non-R&amp;D innovation expenditure as % of Turnover</w:t>
            </w:r>
          </w:p>
        </w:tc>
      </w:tr>
      <w:tr w:rsidR="0084317D" w:rsidRPr="00C7043B" w:rsidTr="0084317D">
        <w:trPr>
          <w:trHeight w:val="312"/>
        </w:trPr>
        <w:tc>
          <w:tcPr>
            <w:tcW w:w="2081" w:type="dxa"/>
          </w:tcPr>
          <w:p w:rsidR="0084317D" w:rsidRPr="009B57C2" w:rsidRDefault="0084317D" w:rsidP="0084317D">
            <w:pPr>
              <w:ind w:left="720"/>
              <w:contextualSpacing/>
              <w:jc w:val="both"/>
              <w:rPr>
                <w:rFonts w:ascii="Times New Roman" w:hAnsi="Times New Roman" w:cs="Times New Roman"/>
                <w:bCs/>
              </w:rPr>
            </w:pPr>
            <w:r w:rsidRPr="009B57C2">
              <w:rPr>
                <w:rFonts w:ascii="Times New Roman" w:hAnsi="Times New Roman" w:cs="Times New Roman"/>
                <w:bCs/>
              </w:rPr>
              <w:t>Belarus</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1.9</w:t>
            </w:r>
          </w:p>
        </w:tc>
      </w:tr>
      <w:tr w:rsidR="0084317D" w:rsidRPr="00C7043B" w:rsidTr="0084317D">
        <w:trPr>
          <w:trHeight w:val="312"/>
        </w:trPr>
        <w:tc>
          <w:tcPr>
            <w:tcW w:w="2081"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Poland</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1.02</w:t>
            </w:r>
          </w:p>
        </w:tc>
      </w:tr>
      <w:tr w:rsidR="0084317D" w:rsidRPr="00C7043B" w:rsidTr="0084317D">
        <w:trPr>
          <w:trHeight w:val="312"/>
        </w:trPr>
        <w:tc>
          <w:tcPr>
            <w:tcW w:w="2081"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Czech Republic</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0.69</w:t>
            </w:r>
          </w:p>
        </w:tc>
      </w:tr>
      <w:tr w:rsidR="0084317D" w:rsidRPr="00C7043B" w:rsidTr="0084317D">
        <w:trPr>
          <w:trHeight w:val="312"/>
        </w:trPr>
        <w:tc>
          <w:tcPr>
            <w:tcW w:w="2081"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Slovenia</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0.56</w:t>
            </w:r>
          </w:p>
        </w:tc>
      </w:tr>
      <w:tr w:rsidR="0084317D" w:rsidRPr="00C7043B" w:rsidTr="0084317D">
        <w:trPr>
          <w:trHeight w:val="312"/>
        </w:trPr>
        <w:tc>
          <w:tcPr>
            <w:tcW w:w="2081"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Spain</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0.39</w:t>
            </w:r>
          </w:p>
        </w:tc>
      </w:tr>
      <w:tr w:rsidR="0084317D" w:rsidRPr="00C7043B" w:rsidTr="0084317D">
        <w:trPr>
          <w:trHeight w:val="312"/>
        </w:trPr>
        <w:tc>
          <w:tcPr>
            <w:tcW w:w="2081"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Austria</w:t>
            </w:r>
          </w:p>
        </w:tc>
        <w:tc>
          <w:tcPr>
            <w:tcW w:w="2563" w:type="dxa"/>
          </w:tcPr>
          <w:p w:rsidR="0084317D" w:rsidRPr="00C7043B" w:rsidRDefault="0084317D" w:rsidP="0084317D">
            <w:pPr>
              <w:ind w:left="720"/>
              <w:contextualSpacing/>
              <w:jc w:val="both"/>
              <w:rPr>
                <w:rFonts w:ascii="Times New Roman" w:hAnsi="Times New Roman" w:cs="Times New Roman"/>
              </w:rPr>
            </w:pPr>
            <w:r w:rsidRPr="00C7043B">
              <w:rPr>
                <w:rFonts w:ascii="Times New Roman" w:hAnsi="Times New Roman" w:cs="Times New Roman"/>
              </w:rPr>
              <w:t>0.35</w:t>
            </w:r>
          </w:p>
        </w:tc>
      </w:tr>
    </w:tbl>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0"/>
          <w:szCs w:val="24"/>
        </w:rPr>
        <w:t xml:space="preserve">Source: Science and innovation activity in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2015, Statistical book, National statistical committee of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Minsk 2015</w:t>
      </w:r>
    </w:p>
    <w:p w:rsidR="0084317D" w:rsidRPr="00C7043B" w:rsidRDefault="0084317D" w:rsidP="0084317D">
      <w:pPr>
        <w:spacing w:after="0" w:line="240" w:lineRule="auto"/>
        <w:ind w:left="720"/>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ab/>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These features of innovation activities </w:t>
      </w:r>
      <w:r w:rsidRPr="00C7043B">
        <w:rPr>
          <w:rFonts w:ascii="Times New Roman" w:eastAsia="Times New Roman" w:hAnsi="Times New Roman" w:cs="Times New Roman"/>
          <w:noProof/>
          <w:sz w:val="24"/>
          <w:szCs w:val="24"/>
        </w:rPr>
        <w:t>are further explained</w:t>
      </w:r>
      <w:r w:rsidRPr="00C7043B">
        <w:rPr>
          <w:rFonts w:ascii="Times New Roman" w:eastAsia="Times New Roman" w:hAnsi="Times New Roman" w:cs="Times New Roman"/>
          <w:sz w:val="24"/>
          <w:szCs w:val="24"/>
        </w:rPr>
        <w:t xml:space="preserve"> by the fact that innovation activity in Belarus </w:t>
      </w:r>
      <w:r w:rsidRPr="00C7043B">
        <w:rPr>
          <w:rFonts w:ascii="Times New Roman" w:eastAsia="Times New Roman" w:hAnsi="Times New Roman" w:cs="Times New Roman"/>
          <w:noProof/>
          <w:sz w:val="24"/>
          <w:szCs w:val="24"/>
        </w:rPr>
        <w:t>is confined</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to</w:t>
      </w:r>
      <w:r w:rsidRPr="00C7043B">
        <w:rPr>
          <w:rFonts w:ascii="Times New Roman" w:eastAsia="Times New Roman" w:hAnsi="Times New Roman" w:cs="Times New Roman"/>
          <w:sz w:val="24"/>
          <w:szCs w:val="24"/>
        </w:rPr>
        <w:t xml:space="preserve"> a small circle of large enterprises. IUS data show a striking feature of Belarusian innovation system which could </w:t>
      </w:r>
      <w:r w:rsidRPr="00C7043B">
        <w:rPr>
          <w:rFonts w:ascii="Times New Roman" w:eastAsia="Times New Roman" w:hAnsi="Times New Roman" w:cs="Times New Roman"/>
          <w:noProof/>
          <w:sz w:val="24"/>
          <w:szCs w:val="24"/>
        </w:rPr>
        <w:t>be described</w:t>
      </w:r>
      <w:r w:rsidRPr="00C7043B">
        <w:rPr>
          <w:rFonts w:ascii="Times New Roman" w:eastAsia="Times New Roman" w:hAnsi="Times New Roman" w:cs="Times New Roman"/>
          <w:sz w:val="24"/>
          <w:szCs w:val="24"/>
        </w:rPr>
        <w:t xml:space="preserve"> as a ‘black hole’ – a very low share of SMEs that are innovators and that are engaged in any innovation activity (see figure 19). This feature is </w:t>
      </w:r>
      <w:r w:rsidRPr="00C7043B">
        <w:rPr>
          <w:rFonts w:ascii="Times New Roman" w:eastAsia="Times New Roman" w:hAnsi="Times New Roman" w:cs="Times New Roman"/>
          <w:noProof/>
          <w:sz w:val="24"/>
          <w:szCs w:val="24"/>
        </w:rPr>
        <w:t>very strong</w:t>
      </w:r>
      <w:r w:rsidRPr="00C7043B">
        <w:rPr>
          <w:rFonts w:ascii="Times New Roman" w:eastAsia="Times New Roman" w:hAnsi="Times New Roman" w:cs="Times New Roman"/>
          <w:sz w:val="24"/>
          <w:szCs w:val="24"/>
        </w:rPr>
        <w:t xml:space="preserve"> when compared to all EU peer economies.</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sz w:val="24"/>
          <w:szCs w:val="24"/>
        </w:rPr>
        <w:tab/>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Figure 19: SMEs innovative activities: a big ‘black hole’ in Belarusian innovation activities</w:t>
      </w:r>
      <w:r w:rsidRPr="00852910">
        <w:rPr>
          <w:rFonts w:ascii="Times New Roman" w:eastAsia="Times New Roman" w:hAnsi="Times New Roman" w:cs="Times New Roman"/>
          <w:sz w:val="24"/>
          <w:szCs w:val="24"/>
        </w:rPr>
        <w:tab/>
      </w:r>
      <w:r w:rsidRPr="00852910">
        <w:rPr>
          <w:rFonts w:ascii="Times New Roman" w:eastAsia="Times New Roman" w:hAnsi="Times New Roman" w:cs="Times New Roman"/>
          <w:sz w:val="24"/>
          <w:szCs w:val="24"/>
        </w:rPr>
        <w:lastRenderedPageBreak/>
        <w:tab/>
      </w:r>
      <w:r w:rsidRPr="00C7043B">
        <w:rPr>
          <w:rFonts w:ascii="Times New Roman" w:eastAsia="Times New Roman" w:hAnsi="Times New Roman" w:cs="Times New Roman"/>
          <w:noProof/>
          <w:sz w:val="24"/>
          <w:szCs w:val="24"/>
          <w:lang w:val="ru-RU" w:eastAsia="ru-RU"/>
        </w:rPr>
        <w:drawing>
          <wp:inline distT="0" distB="0" distL="0" distR="0" wp14:anchorId="22A68EE6" wp14:editId="6AC4E212">
            <wp:extent cx="5270500" cy="2838450"/>
            <wp:effectExtent l="19050" t="0" r="6350" b="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5270500" cy="2838450"/>
                    </a:xfrm>
                    <a:prstGeom prst="rect">
                      <a:avLst/>
                    </a:prstGeom>
                    <a:noFill/>
                    <a:ln w="9525">
                      <a:noFill/>
                      <a:miter lim="800000"/>
                      <a:headEnd/>
                      <a:tailEnd/>
                    </a:ln>
                  </pic:spPr>
                </pic:pic>
              </a:graphicData>
            </a:graphic>
          </wp:inline>
        </w:drawing>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0"/>
          <w:szCs w:val="24"/>
        </w:rPr>
        <w:t xml:space="preserve">Source: Science and innovation activity in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2015, Statistical book, National statistical committee of the </w:t>
      </w:r>
      <w:r w:rsidRPr="00C7043B">
        <w:rPr>
          <w:rFonts w:ascii="Times New Roman" w:eastAsia="Times New Roman" w:hAnsi="Times New Roman" w:cs="Times New Roman"/>
          <w:noProof/>
          <w:sz w:val="20"/>
          <w:szCs w:val="24"/>
        </w:rPr>
        <w:t>Republic</w:t>
      </w:r>
      <w:r w:rsidRPr="00C7043B">
        <w:rPr>
          <w:rFonts w:ascii="Times New Roman" w:eastAsia="Times New Roman" w:hAnsi="Times New Roman" w:cs="Times New Roman"/>
          <w:sz w:val="20"/>
          <w:szCs w:val="24"/>
        </w:rPr>
        <w:t xml:space="preserve"> of Belarus, Minsk 2015</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This structural deficit in the </w:t>
      </w:r>
      <w:r w:rsidRPr="00C7043B">
        <w:rPr>
          <w:rFonts w:ascii="Times New Roman" w:eastAsia="Times New Roman" w:hAnsi="Times New Roman" w:cs="Times New Roman"/>
          <w:noProof/>
          <w:sz w:val="24"/>
          <w:szCs w:val="24"/>
        </w:rPr>
        <w:t>spectrum</w:t>
      </w:r>
      <w:r w:rsidRPr="00C7043B">
        <w:rPr>
          <w:rFonts w:ascii="Times New Roman" w:eastAsia="Times New Roman" w:hAnsi="Times New Roman" w:cs="Times New Roman"/>
          <w:sz w:val="24"/>
          <w:szCs w:val="24"/>
        </w:rPr>
        <w:t xml:space="preserve"> of innovation activities </w:t>
      </w:r>
      <w:r w:rsidR="00647676">
        <w:rPr>
          <w:rFonts w:ascii="Times New Roman" w:eastAsia="Times New Roman" w:hAnsi="Times New Roman" w:cs="Times New Roman"/>
          <w:sz w:val="24"/>
          <w:szCs w:val="24"/>
        </w:rPr>
        <w:t>may have</w:t>
      </w:r>
      <w:r w:rsidRPr="00C7043B">
        <w:rPr>
          <w:rFonts w:ascii="Times New Roman" w:eastAsia="Times New Roman" w:hAnsi="Times New Roman" w:cs="Times New Roman"/>
          <w:sz w:val="24"/>
          <w:szCs w:val="24"/>
        </w:rPr>
        <w:t xml:space="preserve"> strong effects on dynamics of innovation activities. First, it shows the lack of small </w:t>
      </w:r>
      <w:r w:rsidRPr="00C7043B">
        <w:rPr>
          <w:rFonts w:ascii="Times New Roman" w:eastAsia="Times New Roman" w:hAnsi="Times New Roman" w:cs="Times New Roman"/>
          <w:noProof/>
          <w:sz w:val="24"/>
          <w:szCs w:val="24"/>
        </w:rPr>
        <w:t>specialised</w:t>
      </w:r>
      <w:r w:rsidRPr="00C7043B">
        <w:rPr>
          <w:rFonts w:ascii="Times New Roman" w:eastAsia="Times New Roman" w:hAnsi="Times New Roman" w:cs="Times New Roman"/>
          <w:sz w:val="24"/>
          <w:szCs w:val="24"/>
        </w:rPr>
        <w:t xml:space="preserve"> suppliers and the lack of diversity of innovation efforts. These two roles are usually those that cannot be fulfilled by large enterprises. Second, it shows very limited scope for ‘creative destruction’ or opportunities for takeovers of technologically promising small firms </w:t>
      </w:r>
      <w:r w:rsidRPr="00C7043B">
        <w:rPr>
          <w:rFonts w:ascii="Times New Roman" w:eastAsia="Times New Roman" w:hAnsi="Times New Roman" w:cs="Times New Roman"/>
          <w:noProof/>
          <w:sz w:val="24"/>
          <w:szCs w:val="24"/>
        </w:rPr>
        <w:t>by large firms</w:t>
      </w:r>
      <w:r w:rsidRPr="00C7043B">
        <w:rPr>
          <w:rFonts w:ascii="Times New Roman" w:eastAsia="Times New Roman" w:hAnsi="Times New Roman" w:cs="Times New Roman"/>
          <w:sz w:val="24"/>
          <w:szCs w:val="24"/>
        </w:rPr>
        <w:t xml:space="preserve"> and the scope for experimentation which is possible only at the SMEs level. Finally, it reduces the </w:t>
      </w:r>
      <w:r w:rsidRPr="00C7043B">
        <w:rPr>
          <w:rFonts w:ascii="Times New Roman" w:eastAsia="Times New Roman" w:hAnsi="Times New Roman" w:cs="Times New Roman"/>
          <w:noProof/>
          <w:sz w:val="24"/>
          <w:szCs w:val="24"/>
        </w:rPr>
        <w:t>scope</w:t>
      </w:r>
      <w:r w:rsidRPr="00C7043B">
        <w:rPr>
          <w:rFonts w:ascii="Times New Roman" w:eastAsia="Times New Roman" w:hAnsi="Times New Roman" w:cs="Times New Roman"/>
          <w:sz w:val="24"/>
          <w:szCs w:val="24"/>
        </w:rPr>
        <w:t xml:space="preserve"> for </w:t>
      </w:r>
      <w:r w:rsidRPr="00C7043B">
        <w:rPr>
          <w:rFonts w:ascii="Times New Roman" w:eastAsia="Times New Roman" w:hAnsi="Times New Roman" w:cs="Times New Roman"/>
          <w:noProof/>
          <w:sz w:val="24"/>
          <w:szCs w:val="24"/>
        </w:rPr>
        <w:t>autonomous</w:t>
      </w:r>
      <w:r w:rsidRPr="00C7043B">
        <w:rPr>
          <w:rFonts w:ascii="Times New Roman" w:eastAsia="Times New Roman" w:hAnsi="Times New Roman" w:cs="Times New Roman"/>
          <w:sz w:val="24"/>
          <w:szCs w:val="24"/>
        </w:rPr>
        <w:t xml:space="preserve"> and generic expansion of SMEs given a </w:t>
      </w:r>
      <w:r w:rsidRPr="00C7043B">
        <w:rPr>
          <w:rFonts w:ascii="Times New Roman" w:eastAsia="Times New Roman" w:hAnsi="Times New Roman" w:cs="Times New Roman"/>
          <w:noProof/>
          <w:sz w:val="24"/>
          <w:szCs w:val="24"/>
        </w:rPr>
        <w:t>tiny</w:t>
      </w:r>
      <w:r w:rsidRPr="00C7043B">
        <w:rPr>
          <w:rFonts w:ascii="Times New Roman" w:eastAsia="Times New Roman" w:hAnsi="Times New Roman" w:cs="Times New Roman"/>
          <w:sz w:val="24"/>
          <w:szCs w:val="24"/>
        </w:rPr>
        <w:t xml:space="preserve"> share of innovative SMEs. </w:t>
      </w: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p>
    <w:p w:rsidR="0084317D" w:rsidRPr="00C7043B" w:rsidRDefault="0084317D" w:rsidP="0084317D">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So, when compared to other ex-transition economies, especially central European, Belarus is distinct in that it has preserved the organisational capabilities of large firms which</w:t>
      </w:r>
      <w:r w:rsidR="00DC62AB" w:rsidRPr="00C7043B">
        <w:rPr>
          <w:rFonts w:ascii="Times New Roman" w:eastAsia="Times New Roman" w:hAnsi="Times New Roman" w:cs="Times New Roman"/>
          <w:sz w:val="24"/>
          <w:szCs w:val="24"/>
        </w:rPr>
        <w:t xml:space="preserve"> are</w:t>
      </w:r>
      <w:r w:rsidRPr="00C7043B">
        <w:rPr>
          <w:rFonts w:ascii="Times New Roman" w:eastAsia="Times New Roman" w:hAnsi="Times New Roman" w:cs="Times New Roman"/>
          <w:sz w:val="24"/>
          <w:szCs w:val="24"/>
        </w:rPr>
        <w:t xml:space="preserve"> drivers of innovation and R&amp;D activities in developed economies. However, in </w:t>
      </w:r>
      <w:r w:rsidRPr="00C7043B">
        <w:rPr>
          <w:rFonts w:ascii="Times New Roman" w:eastAsia="Times New Roman" w:hAnsi="Times New Roman" w:cs="Times New Roman"/>
          <w:noProof/>
          <w:sz w:val="24"/>
          <w:szCs w:val="24"/>
        </w:rPr>
        <w:t>Belarus,</w:t>
      </w:r>
      <w:r w:rsidRPr="00C7043B">
        <w:rPr>
          <w:rFonts w:ascii="Times New Roman" w:eastAsia="Times New Roman" w:hAnsi="Times New Roman" w:cs="Times New Roman"/>
          <w:sz w:val="24"/>
          <w:szCs w:val="24"/>
        </w:rPr>
        <w:t xml:space="preserve"> these </w:t>
      </w:r>
      <w:r w:rsidRPr="00C7043B">
        <w:rPr>
          <w:rFonts w:ascii="Times New Roman" w:eastAsia="Times New Roman" w:hAnsi="Times New Roman" w:cs="Times New Roman"/>
          <w:noProof/>
          <w:sz w:val="24"/>
          <w:szCs w:val="24"/>
        </w:rPr>
        <w:t>firms</w:t>
      </w:r>
      <w:r w:rsidRPr="00C7043B">
        <w:rPr>
          <w:rFonts w:ascii="Times New Roman" w:eastAsia="Times New Roman" w:hAnsi="Times New Roman" w:cs="Times New Roman"/>
          <w:sz w:val="24"/>
          <w:szCs w:val="24"/>
        </w:rPr>
        <w:t xml:space="preserve"> cannot rely on the range of SMEs as specialized suppliers and as co-creators of industry dynamics. So, preservation of organisational capabilities of large </w:t>
      </w:r>
      <w:r w:rsidRPr="00C7043B">
        <w:rPr>
          <w:rFonts w:ascii="Times New Roman" w:eastAsia="Times New Roman" w:hAnsi="Times New Roman" w:cs="Times New Roman"/>
          <w:noProof/>
          <w:sz w:val="24"/>
          <w:szCs w:val="24"/>
        </w:rPr>
        <w:t>firms</w:t>
      </w:r>
      <w:r w:rsidRPr="00C7043B">
        <w:rPr>
          <w:rFonts w:ascii="Times New Roman" w:eastAsia="Times New Roman" w:hAnsi="Times New Roman" w:cs="Times New Roman"/>
          <w:sz w:val="24"/>
          <w:szCs w:val="24"/>
        </w:rPr>
        <w:t xml:space="preserve"> has been paid </w:t>
      </w:r>
      <w:r w:rsidRPr="00C7043B">
        <w:rPr>
          <w:rFonts w:ascii="Times New Roman" w:eastAsia="Times New Roman" w:hAnsi="Times New Roman" w:cs="Times New Roman"/>
          <w:noProof/>
          <w:sz w:val="24"/>
          <w:szCs w:val="24"/>
        </w:rPr>
        <w:t>by</w:t>
      </w:r>
      <w:r w:rsidRPr="00C7043B">
        <w:rPr>
          <w:rFonts w:ascii="Times New Roman" w:eastAsia="Times New Roman" w:hAnsi="Times New Roman" w:cs="Times New Roman"/>
          <w:sz w:val="24"/>
          <w:szCs w:val="24"/>
        </w:rPr>
        <w:t xml:space="preserve"> the lacking dynamics of interactions between large and small </w:t>
      </w:r>
      <w:r w:rsidRPr="00C7043B">
        <w:rPr>
          <w:rFonts w:ascii="Times New Roman" w:eastAsia="Times New Roman" w:hAnsi="Times New Roman" w:cs="Times New Roman"/>
          <w:noProof/>
          <w:sz w:val="24"/>
          <w:szCs w:val="24"/>
        </w:rPr>
        <w:t>businesses</w:t>
      </w:r>
      <w:r w:rsidRPr="00C7043B">
        <w:rPr>
          <w:rFonts w:ascii="Times New Roman" w:eastAsia="Times New Roman" w:hAnsi="Times New Roman" w:cs="Times New Roman"/>
          <w:sz w:val="24"/>
          <w:szCs w:val="24"/>
        </w:rPr>
        <w:t xml:space="preserve">. </w:t>
      </w:r>
    </w:p>
    <w:p w:rsidR="0084317D" w:rsidRPr="00C7043B" w:rsidRDefault="0084317D" w:rsidP="0084317D">
      <w:pPr>
        <w:spacing w:after="0" w:line="240" w:lineRule="auto"/>
        <w:contextualSpacing/>
        <w:rPr>
          <w:rFonts w:ascii="Times New Roman" w:eastAsia="Times New Roman" w:hAnsi="Times New Roman" w:cs="Times New Roman"/>
          <w:sz w:val="24"/>
          <w:szCs w:val="24"/>
        </w:rPr>
      </w:pPr>
    </w:p>
    <w:p w:rsidR="00966EE7" w:rsidRPr="00C7043B" w:rsidRDefault="00966EE7" w:rsidP="00966EE7">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Another important benchmarking instrument is the WEF Global </w:t>
      </w:r>
      <w:r w:rsidRPr="00C7043B">
        <w:rPr>
          <w:rFonts w:ascii="Times New Roman" w:eastAsia="Times New Roman" w:hAnsi="Times New Roman" w:cs="Times New Roman"/>
          <w:noProof/>
          <w:sz w:val="24"/>
          <w:szCs w:val="24"/>
        </w:rPr>
        <w:t>Competitiveness</w:t>
      </w:r>
      <w:r w:rsidRPr="00C7043B">
        <w:rPr>
          <w:rFonts w:ascii="Times New Roman" w:eastAsia="Times New Roman" w:hAnsi="Times New Roman" w:cs="Times New Roman"/>
          <w:sz w:val="24"/>
          <w:szCs w:val="24"/>
        </w:rPr>
        <w:t xml:space="preserve"> Report. Belarus is not yet part of this system which deprives it of important benchmarking insights </w:t>
      </w:r>
      <w:r w:rsidRPr="00C7043B">
        <w:rPr>
          <w:rFonts w:ascii="Times New Roman" w:eastAsia="Times New Roman" w:hAnsi="Times New Roman" w:cs="Times New Roman"/>
          <w:noProof/>
          <w:sz w:val="24"/>
          <w:szCs w:val="24"/>
        </w:rPr>
        <w:t>and</w:t>
      </w:r>
      <w:r w:rsidRPr="00C7043B">
        <w:rPr>
          <w:rFonts w:ascii="Times New Roman" w:eastAsia="Times New Roman" w:hAnsi="Times New Roman" w:cs="Times New Roman"/>
          <w:sz w:val="24"/>
          <w:szCs w:val="24"/>
        </w:rPr>
        <w:t xml:space="preserve"> profile. However, as part of its efforts to benchmark itself internationally at least in some components of the WEF GCR framework government has been regularly funding a </w:t>
      </w:r>
      <w:r w:rsidRPr="00C7043B">
        <w:rPr>
          <w:rFonts w:ascii="Times New Roman" w:eastAsia="Times New Roman" w:hAnsi="Times New Roman" w:cs="Times New Roman"/>
          <w:noProof/>
          <w:sz w:val="24"/>
          <w:szCs w:val="24"/>
        </w:rPr>
        <w:t>study</w:t>
      </w:r>
      <w:r w:rsidRPr="00C7043B">
        <w:rPr>
          <w:rFonts w:ascii="Times New Roman" w:eastAsia="Times New Roman" w:hAnsi="Times New Roman" w:cs="Times New Roman"/>
          <w:sz w:val="24"/>
          <w:szCs w:val="24"/>
        </w:rPr>
        <w:t xml:space="preserve"> which uses WEF data and criteria in positioning Belarus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innovation capacity. </w:t>
      </w:r>
    </w:p>
    <w:p w:rsidR="00966EE7" w:rsidRPr="00C7043B" w:rsidRDefault="00966EE7" w:rsidP="00966EE7">
      <w:pPr>
        <w:spacing w:after="0" w:line="240" w:lineRule="auto"/>
        <w:contextualSpacing/>
        <w:jc w:val="both"/>
        <w:rPr>
          <w:rFonts w:ascii="Times New Roman" w:eastAsia="Times New Roman" w:hAnsi="Times New Roman" w:cs="Times New Roman"/>
          <w:sz w:val="24"/>
          <w:szCs w:val="24"/>
        </w:rPr>
      </w:pPr>
    </w:p>
    <w:p w:rsidR="00966EE7" w:rsidRPr="00C7043B" w:rsidRDefault="00966EE7" w:rsidP="00966EE7">
      <w:pPr>
        <w:spacing w:after="0" w:line="240" w:lineRule="auto"/>
        <w:contextualSpacing/>
        <w:jc w:val="both"/>
        <w:rPr>
          <w:rFonts w:ascii="Times New Roman" w:eastAsia="Times New Roman" w:hAnsi="Times New Roman" w:cs="Times New Roman"/>
          <w:sz w:val="24"/>
          <w:szCs w:val="24"/>
        </w:rPr>
      </w:pPr>
      <w:r w:rsidRPr="00647676">
        <w:rPr>
          <w:rFonts w:ascii="Times New Roman" w:eastAsia="Times New Roman" w:hAnsi="Times New Roman" w:cs="Times New Roman"/>
          <w:sz w:val="24"/>
          <w:szCs w:val="24"/>
          <w:highlight w:val="yellow"/>
        </w:rPr>
        <w:t>Table 8</w:t>
      </w:r>
      <w:r w:rsidRPr="00C7043B">
        <w:rPr>
          <w:rFonts w:ascii="Times New Roman" w:eastAsia="Times New Roman" w:hAnsi="Times New Roman" w:cs="Times New Roman"/>
          <w:sz w:val="24"/>
          <w:szCs w:val="24"/>
        </w:rPr>
        <w:t xml:space="preserve"> shows results of the part of WEF survey for 2015 conducted by </w:t>
      </w:r>
      <w:r w:rsidRPr="00C7043B">
        <w:rPr>
          <w:rFonts w:ascii="Times New Roman" w:eastAsia="Times New Roman" w:hAnsi="Times New Roman" w:cs="Times New Roman"/>
          <w:noProof/>
          <w:sz w:val="24"/>
          <w:szCs w:val="24"/>
        </w:rPr>
        <w:t>Belisa,</w:t>
      </w:r>
      <w:r w:rsidRPr="00C7043B">
        <w:rPr>
          <w:rFonts w:ascii="Times New Roman" w:eastAsia="Times New Roman" w:hAnsi="Times New Roman" w:cs="Times New Roman"/>
          <w:sz w:val="24"/>
          <w:szCs w:val="24"/>
        </w:rPr>
        <w:t xml:space="preserve"> which is </w:t>
      </w:r>
      <w:r w:rsidRPr="00C7043B">
        <w:rPr>
          <w:rFonts w:ascii="Times New Roman" w:eastAsia="Times New Roman" w:hAnsi="Times New Roman" w:cs="Times New Roman"/>
          <w:noProof/>
          <w:sz w:val="24"/>
          <w:szCs w:val="24"/>
        </w:rPr>
        <w:t>by and large</w:t>
      </w:r>
      <w:r w:rsidRPr="00C7043B">
        <w:rPr>
          <w:rFonts w:ascii="Times New Roman" w:eastAsia="Times New Roman" w:hAnsi="Times New Roman" w:cs="Times New Roman"/>
          <w:sz w:val="24"/>
          <w:szCs w:val="24"/>
        </w:rPr>
        <w:t xml:space="preserve"> based on subjective assessment of the </w:t>
      </w:r>
      <w:r w:rsidRPr="00C7043B">
        <w:rPr>
          <w:rFonts w:ascii="Times New Roman" w:eastAsia="Times New Roman" w:hAnsi="Times New Roman" w:cs="Times New Roman"/>
          <w:noProof/>
          <w:sz w:val="24"/>
          <w:szCs w:val="24"/>
        </w:rPr>
        <w:t>business</w:t>
      </w:r>
      <w:r w:rsidRPr="00C7043B">
        <w:rPr>
          <w:rFonts w:ascii="Times New Roman" w:eastAsia="Times New Roman" w:hAnsi="Times New Roman" w:cs="Times New Roman"/>
          <w:sz w:val="24"/>
          <w:szCs w:val="24"/>
        </w:rPr>
        <w:t xml:space="preserve"> community. </w:t>
      </w:r>
      <w:r w:rsidRPr="00C7043B">
        <w:rPr>
          <w:rFonts w:ascii="Times New Roman" w:eastAsia="Times New Roman" w:hAnsi="Times New Roman" w:cs="Times New Roman"/>
          <w:noProof/>
          <w:sz w:val="24"/>
          <w:szCs w:val="24"/>
        </w:rPr>
        <w:t>This survey has not been verified by the WEF team,</w:t>
      </w:r>
      <w:r w:rsidRPr="00C7043B">
        <w:rPr>
          <w:rFonts w:ascii="Times New Roman" w:eastAsia="Times New Roman" w:hAnsi="Times New Roman" w:cs="Times New Roman"/>
          <w:sz w:val="24"/>
          <w:szCs w:val="24"/>
        </w:rPr>
        <w:t xml:space="preserve"> but authors have tried as much as possible to comply with the requirements of the </w:t>
      </w:r>
      <w:r w:rsidRPr="00C7043B">
        <w:rPr>
          <w:rFonts w:ascii="Times New Roman" w:eastAsia="Times New Roman" w:hAnsi="Times New Roman" w:cs="Times New Roman"/>
          <w:noProof/>
          <w:sz w:val="24"/>
          <w:szCs w:val="24"/>
        </w:rPr>
        <w:t>survey</w:t>
      </w:r>
      <w:r w:rsidRPr="00C7043B">
        <w:rPr>
          <w:rFonts w:ascii="Times New Roman" w:eastAsia="Times New Roman" w:hAnsi="Times New Roman" w:cs="Times New Roman"/>
          <w:sz w:val="24"/>
          <w:szCs w:val="24"/>
        </w:rPr>
        <w:t xml:space="preserve"> and</w:t>
      </w:r>
      <w:r w:rsidR="00950742">
        <w:rPr>
          <w:rFonts w:ascii="Times New Roman" w:eastAsia="Times New Roman" w:hAnsi="Times New Roman" w:cs="Times New Roman"/>
          <w:sz w:val="24"/>
          <w:szCs w:val="24"/>
        </w:rPr>
        <w:t xml:space="preserve"> it</w:t>
      </w:r>
      <w:r w:rsidRPr="00C7043B">
        <w:rPr>
          <w:rFonts w:ascii="Times New Roman" w:eastAsia="Times New Roman" w:hAnsi="Times New Roman" w:cs="Times New Roman"/>
          <w:sz w:val="24"/>
          <w:szCs w:val="24"/>
        </w:rPr>
        <w:t xml:space="preserve"> </w:t>
      </w:r>
      <w:r w:rsidR="00950742">
        <w:rPr>
          <w:rFonts w:ascii="Times New Roman" w:eastAsia="Times New Roman" w:hAnsi="Times New Roman" w:cs="Times New Roman"/>
          <w:sz w:val="24"/>
          <w:szCs w:val="24"/>
        </w:rPr>
        <w:t>could</w:t>
      </w:r>
      <w:r w:rsidRPr="00C7043B">
        <w:rPr>
          <w:rFonts w:ascii="Times New Roman" w:eastAsia="Times New Roman" w:hAnsi="Times New Roman" w:cs="Times New Roman"/>
          <w:sz w:val="24"/>
          <w:szCs w:val="24"/>
        </w:rPr>
        <w:t xml:space="preserve"> be</w:t>
      </w:r>
      <w:r w:rsidR="00950742">
        <w:rPr>
          <w:rFonts w:ascii="Times New Roman" w:eastAsia="Times New Roman" w:hAnsi="Times New Roman" w:cs="Times New Roman"/>
          <w:sz w:val="24"/>
          <w:szCs w:val="24"/>
        </w:rPr>
        <w:t xml:space="preserve"> used as</w:t>
      </w:r>
      <w:r w:rsidRPr="00C7043B">
        <w:rPr>
          <w:rFonts w:ascii="Times New Roman" w:eastAsia="Times New Roman" w:hAnsi="Times New Roman" w:cs="Times New Roman"/>
          <w:sz w:val="24"/>
          <w:szCs w:val="24"/>
        </w:rPr>
        <w:t xml:space="preserve"> a valid comparative tool. </w:t>
      </w:r>
      <w:r w:rsidR="00950742">
        <w:rPr>
          <w:rFonts w:ascii="Times New Roman" w:eastAsia="Times New Roman" w:hAnsi="Times New Roman" w:cs="Times New Roman"/>
          <w:sz w:val="24"/>
          <w:szCs w:val="24"/>
        </w:rPr>
        <w:t>It</w:t>
      </w:r>
      <w:r w:rsidRPr="00C7043B">
        <w:rPr>
          <w:rFonts w:ascii="Times New Roman" w:eastAsia="Times New Roman" w:hAnsi="Times New Roman" w:cs="Times New Roman"/>
          <w:sz w:val="24"/>
          <w:szCs w:val="24"/>
        </w:rPr>
        <w:t xml:space="preserve"> shows the position of Belarus within the context of peer economies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several </w:t>
      </w:r>
      <w:r w:rsidRPr="00C7043B">
        <w:rPr>
          <w:rFonts w:ascii="Times New Roman" w:eastAsia="Times New Roman" w:hAnsi="Times New Roman" w:cs="Times New Roman"/>
          <w:noProof/>
          <w:sz w:val="24"/>
          <w:szCs w:val="24"/>
        </w:rPr>
        <w:t>critical</w:t>
      </w:r>
      <w:r w:rsidRPr="00C7043B">
        <w:rPr>
          <w:rFonts w:ascii="Times New Roman" w:eastAsia="Times New Roman" w:hAnsi="Times New Roman" w:cs="Times New Roman"/>
          <w:sz w:val="24"/>
          <w:szCs w:val="24"/>
        </w:rPr>
        <w:t xml:space="preserve"> dimensions of innovation capacity. Indicators are a mixture of ‘hard’ indicators and rankings from 1-7 in the case of subjective assessments.  </w:t>
      </w:r>
      <w:r w:rsidR="00950742">
        <w:rPr>
          <w:rFonts w:ascii="Times New Roman" w:eastAsia="Times New Roman" w:hAnsi="Times New Roman" w:cs="Times New Roman"/>
          <w:sz w:val="24"/>
          <w:szCs w:val="24"/>
        </w:rPr>
        <w:t>After considering the</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relative</w:t>
      </w:r>
      <w:r w:rsidRPr="00C7043B">
        <w:rPr>
          <w:rFonts w:ascii="Times New Roman" w:eastAsia="Times New Roman" w:hAnsi="Times New Roman" w:cs="Times New Roman"/>
          <w:sz w:val="24"/>
          <w:szCs w:val="24"/>
        </w:rPr>
        <w:t xml:space="preserve"> position of </w:t>
      </w:r>
      <w:r w:rsidRPr="00C7043B">
        <w:rPr>
          <w:rFonts w:ascii="Times New Roman" w:eastAsia="Times New Roman" w:hAnsi="Times New Roman" w:cs="Times New Roman"/>
          <w:sz w:val="24"/>
          <w:szCs w:val="24"/>
        </w:rPr>
        <w:lastRenderedPageBreak/>
        <w:t xml:space="preserve">Belarus </w:t>
      </w:r>
      <w:r w:rsidRPr="00C7043B">
        <w:rPr>
          <w:rFonts w:ascii="Times New Roman" w:eastAsia="Times New Roman" w:hAnsi="Times New Roman" w:cs="Times New Roman"/>
          <w:noProof/>
          <w:sz w:val="24"/>
          <w:szCs w:val="24"/>
        </w:rPr>
        <w:t>in relation to</w:t>
      </w:r>
      <w:r w:rsidRPr="00C7043B">
        <w:rPr>
          <w:rFonts w:ascii="Times New Roman" w:eastAsia="Times New Roman" w:hAnsi="Times New Roman" w:cs="Times New Roman"/>
          <w:sz w:val="24"/>
          <w:szCs w:val="24"/>
        </w:rPr>
        <w:t xml:space="preserve"> its peers as well as on absolute values of </w:t>
      </w:r>
      <w:r w:rsidRPr="00C7043B">
        <w:rPr>
          <w:rFonts w:ascii="Times New Roman" w:eastAsia="Times New Roman" w:hAnsi="Times New Roman" w:cs="Times New Roman"/>
          <w:noProof/>
          <w:sz w:val="24"/>
          <w:szCs w:val="24"/>
        </w:rPr>
        <w:t>evaluations</w:t>
      </w:r>
      <w:r w:rsidR="00950742">
        <w:rPr>
          <w:rFonts w:ascii="Times New Roman" w:eastAsia="Times New Roman" w:hAnsi="Times New Roman" w:cs="Times New Roman"/>
          <w:noProof/>
          <w:sz w:val="24"/>
          <w:szCs w:val="24"/>
        </w:rPr>
        <w:t xml:space="preserve">, </w:t>
      </w:r>
      <w:r w:rsidRPr="00C7043B">
        <w:rPr>
          <w:rFonts w:ascii="Times New Roman" w:eastAsia="Times New Roman" w:hAnsi="Times New Roman" w:cs="Times New Roman"/>
          <w:sz w:val="24"/>
          <w:szCs w:val="24"/>
        </w:rPr>
        <w:t xml:space="preserve">the following </w:t>
      </w:r>
      <w:r w:rsidR="00950742">
        <w:rPr>
          <w:rFonts w:ascii="Times New Roman" w:eastAsia="Times New Roman" w:hAnsi="Times New Roman" w:cs="Times New Roman"/>
          <w:sz w:val="24"/>
          <w:szCs w:val="24"/>
        </w:rPr>
        <w:t xml:space="preserve">can be </w:t>
      </w:r>
      <w:r w:rsidRPr="00C7043B">
        <w:rPr>
          <w:rFonts w:ascii="Times New Roman" w:eastAsia="Times New Roman" w:hAnsi="Times New Roman" w:cs="Times New Roman"/>
          <w:sz w:val="24"/>
          <w:szCs w:val="24"/>
        </w:rPr>
        <w:t>conclu</w:t>
      </w:r>
      <w:r w:rsidR="00950742">
        <w:rPr>
          <w:rFonts w:ascii="Times New Roman" w:eastAsia="Times New Roman" w:hAnsi="Times New Roman" w:cs="Times New Roman"/>
          <w:sz w:val="24"/>
          <w:szCs w:val="24"/>
        </w:rPr>
        <w:t>ded</w:t>
      </w:r>
      <w:r w:rsidRPr="00C7043B">
        <w:rPr>
          <w:rFonts w:ascii="Times New Roman" w:eastAsia="Times New Roman" w:hAnsi="Times New Roman" w:cs="Times New Roman"/>
          <w:sz w:val="24"/>
          <w:szCs w:val="24"/>
        </w:rPr>
        <w:t xml:space="preserve">. </w:t>
      </w:r>
    </w:p>
    <w:p w:rsidR="00966EE7" w:rsidRPr="00C7043B" w:rsidRDefault="00966EE7" w:rsidP="00966EE7">
      <w:pPr>
        <w:spacing w:after="0" w:line="240" w:lineRule="auto"/>
        <w:contextualSpacing/>
        <w:jc w:val="both"/>
        <w:rPr>
          <w:rFonts w:ascii="Times New Roman" w:eastAsia="Times New Roman" w:hAnsi="Times New Roman" w:cs="Times New Roman"/>
          <w:sz w:val="24"/>
          <w:szCs w:val="24"/>
        </w:rPr>
      </w:pPr>
    </w:p>
    <w:p w:rsidR="00966EE7" w:rsidRPr="00C7043B" w:rsidRDefault="00966EE7" w:rsidP="00966EE7">
      <w:pPr>
        <w:spacing w:after="0" w:line="240" w:lineRule="auto"/>
        <w:contextualSpacing/>
        <w:jc w:val="both"/>
        <w:rPr>
          <w:rFonts w:ascii="Times New Roman" w:eastAsia="Times New Roman" w:hAnsi="Times New Roman" w:cs="Times New Roman"/>
          <w:sz w:val="24"/>
          <w:szCs w:val="24"/>
        </w:rPr>
      </w:pPr>
      <w:r w:rsidRPr="00C7043B">
        <w:rPr>
          <w:rFonts w:ascii="Times New Roman" w:eastAsia="Times New Roman" w:hAnsi="Times New Roman" w:cs="Times New Roman"/>
          <w:sz w:val="24"/>
          <w:szCs w:val="24"/>
        </w:rPr>
        <w:t xml:space="preserve">First, although </w:t>
      </w:r>
      <w:r w:rsidRPr="00C7043B">
        <w:rPr>
          <w:rFonts w:ascii="Times New Roman" w:eastAsia="Times New Roman" w:hAnsi="Times New Roman" w:cs="Times New Roman"/>
          <w:noProof/>
          <w:sz w:val="24"/>
          <w:szCs w:val="24"/>
        </w:rPr>
        <w:t>in absolute terms</w:t>
      </w:r>
      <w:r w:rsidRPr="00C7043B">
        <w:rPr>
          <w:rFonts w:ascii="Times New Roman" w:eastAsia="Times New Roman" w:hAnsi="Times New Roman" w:cs="Times New Roman"/>
          <w:sz w:val="24"/>
          <w:szCs w:val="24"/>
        </w:rPr>
        <w:t xml:space="preserve"> Belarusian firms evaluate the availability of the latest technologies and </w:t>
      </w:r>
      <w:r w:rsidRPr="00C7043B">
        <w:rPr>
          <w:rFonts w:ascii="Times New Roman" w:eastAsia="Times New Roman" w:hAnsi="Times New Roman" w:cs="Times New Roman"/>
          <w:noProof/>
          <w:sz w:val="24"/>
          <w:szCs w:val="24"/>
        </w:rPr>
        <w:t>firms</w:t>
      </w:r>
      <w:r w:rsidRPr="00C7043B">
        <w:rPr>
          <w:rFonts w:ascii="Times New Roman" w:eastAsia="Times New Roman" w:hAnsi="Times New Roman" w:cs="Times New Roman"/>
          <w:sz w:val="24"/>
          <w:szCs w:val="24"/>
        </w:rPr>
        <w:t xml:space="preserve"> level technology absorption as satisfactory (assessments are around 4.17 mark) in relative </w:t>
      </w:r>
      <w:r w:rsidRPr="00C7043B">
        <w:rPr>
          <w:rFonts w:ascii="Times New Roman" w:eastAsia="Times New Roman" w:hAnsi="Times New Roman" w:cs="Times New Roman"/>
          <w:noProof/>
          <w:sz w:val="24"/>
          <w:szCs w:val="24"/>
        </w:rPr>
        <w:t>terms,</w:t>
      </w:r>
      <w:r w:rsidRPr="00C7043B">
        <w:rPr>
          <w:rFonts w:ascii="Times New Roman" w:eastAsia="Times New Roman" w:hAnsi="Times New Roman" w:cs="Times New Roman"/>
          <w:sz w:val="24"/>
          <w:szCs w:val="24"/>
        </w:rPr>
        <w:t xml:space="preserve"> this puts Belarus at the bottom end of the peer economies.   Second, the biggest lag of Belarus is </w:t>
      </w:r>
      <w:r w:rsidRPr="00C7043B">
        <w:rPr>
          <w:rFonts w:ascii="Times New Roman" w:eastAsia="Times New Roman" w:hAnsi="Times New Roman" w:cs="Times New Roman"/>
          <w:noProof/>
          <w:sz w:val="24"/>
          <w:szCs w:val="24"/>
        </w:rPr>
        <w:t>regarding</w:t>
      </w:r>
      <w:r w:rsidRPr="00C7043B">
        <w:rPr>
          <w:rFonts w:ascii="Times New Roman" w:eastAsia="Times New Roman" w:hAnsi="Times New Roman" w:cs="Times New Roman"/>
          <w:sz w:val="24"/>
          <w:szCs w:val="24"/>
        </w:rPr>
        <w:t xml:space="preserve"> companies spending on R&amp;D (only 2.92) which shows that </w:t>
      </w:r>
      <w:r w:rsidRPr="00C7043B">
        <w:rPr>
          <w:rFonts w:ascii="Times New Roman" w:eastAsia="Times New Roman" w:hAnsi="Times New Roman" w:cs="Times New Roman"/>
          <w:noProof/>
          <w:sz w:val="24"/>
          <w:szCs w:val="24"/>
        </w:rPr>
        <w:t>despite a high relative share of R&amp;D expenditures in BES</w:t>
      </w:r>
      <w:r w:rsidRPr="00C7043B">
        <w:rPr>
          <w:rFonts w:ascii="Times New Roman" w:eastAsia="Times New Roman" w:hAnsi="Times New Roman" w:cs="Times New Roman"/>
          <w:sz w:val="24"/>
          <w:szCs w:val="24"/>
        </w:rPr>
        <w:t xml:space="preserve"> this is far from satisfactory given a </w:t>
      </w:r>
      <w:r w:rsidRPr="00C7043B">
        <w:rPr>
          <w:rFonts w:ascii="Times New Roman" w:eastAsia="Times New Roman" w:hAnsi="Times New Roman" w:cs="Times New Roman"/>
          <w:noProof/>
          <w:sz w:val="24"/>
          <w:szCs w:val="24"/>
        </w:rPr>
        <w:t>very</w:t>
      </w:r>
      <w:r w:rsidRPr="00C7043B">
        <w:rPr>
          <w:rFonts w:ascii="Times New Roman" w:eastAsia="Times New Roman" w:hAnsi="Times New Roman" w:cs="Times New Roman"/>
          <w:sz w:val="24"/>
          <w:szCs w:val="24"/>
        </w:rPr>
        <w:t xml:space="preserve"> low overall share of R&amp;D </w:t>
      </w:r>
      <w:r w:rsidRPr="00C7043B">
        <w:rPr>
          <w:rFonts w:ascii="Times New Roman" w:eastAsia="Times New Roman" w:hAnsi="Times New Roman" w:cs="Times New Roman"/>
          <w:noProof/>
          <w:sz w:val="24"/>
          <w:szCs w:val="24"/>
        </w:rPr>
        <w:t>expenditures</w:t>
      </w:r>
      <w:r w:rsidRPr="00C7043B">
        <w:rPr>
          <w:rFonts w:ascii="Times New Roman" w:eastAsia="Times New Roman" w:hAnsi="Times New Roman" w:cs="Times New Roman"/>
          <w:sz w:val="24"/>
          <w:szCs w:val="24"/>
        </w:rPr>
        <w:t xml:space="preserve"> in BES. In this </w:t>
      </w:r>
      <w:r w:rsidRPr="00C7043B">
        <w:rPr>
          <w:rFonts w:ascii="Times New Roman" w:eastAsia="Times New Roman" w:hAnsi="Times New Roman" w:cs="Times New Roman"/>
          <w:noProof/>
          <w:sz w:val="24"/>
          <w:szCs w:val="24"/>
        </w:rPr>
        <w:t>respect,</w:t>
      </w:r>
      <w:r w:rsidRPr="00C7043B">
        <w:rPr>
          <w:rFonts w:ascii="Times New Roman" w:eastAsia="Times New Roman" w:hAnsi="Times New Roman" w:cs="Times New Roman"/>
          <w:sz w:val="24"/>
          <w:szCs w:val="24"/>
        </w:rPr>
        <w:t xml:space="preserve"> Belarus is quite similar to Poland. </w:t>
      </w:r>
      <w:r w:rsidRPr="00C7043B">
        <w:rPr>
          <w:rFonts w:ascii="Times New Roman" w:eastAsia="Times New Roman" w:hAnsi="Times New Roman" w:cs="Times New Roman"/>
          <w:noProof/>
          <w:sz w:val="24"/>
          <w:szCs w:val="24"/>
        </w:rPr>
        <w:t>This also</w:t>
      </w:r>
      <w:r w:rsidRPr="00C7043B">
        <w:rPr>
          <w:rFonts w:ascii="Times New Roman" w:eastAsia="Times New Roman" w:hAnsi="Times New Roman" w:cs="Times New Roman"/>
          <w:sz w:val="24"/>
          <w:szCs w:val="24"/>
        </w:rPr>
        <w:t xml:space="preserve"> shows that subjective assessments by a </w:t>
      </w:r>
      <w:r w:rsidRPr="00C7043B">
        <w:rPr>
          <w:rFonts w:ascii="Times New Roman" w:eastAsia="Times New Roman" w:hAnsi="Times New Roman" w:cs="Times New Roman"/>
          <w:noProof/>
          <w:sz w:val="24"/>
          <w:szCs w:val="24"/>
        </w:rPr>
        <w:t>business</w:t>
      </w:r>
      <w:r w:rsidRPr="00C7043B">
        <w:rPr>
          <w:rFonts w:ascii="Times New Roman" w:eastAsia="Times New Roman" w:hAnsi="Times New Roman" w:cs="Times New Roman"/>
          <w:sz w:val="24"/>
          <w:szCs w:val="24"/>
        </w:rPr>
        <w:t xml:space="preserve"> community well reflect hard data on R&amp;D expenditures in BES.  Third, a striking fact is that business perceives that there is a quite high availability of scientists and engineers in the </w:t>
      </w:r>
      <w:r w:rsidRPr="00C7043B">
        <w:rPr>
          <w:rFonts w:ascii="Times New Roman" w:eastAsia="Times New Roman" w:hAnsi="Times New Roman" w:cs="Times New Roman"/>
          <w:noProof/>
          <w:sz w:val="24"/>
          <w:szCs w:val="24"/>
        </w:rPr>
        <w:t>country,</w:t>
      </w:r>
      <w:r w:rsidRPr="00C7043B">
        <w:rPr>
          <w:rFonts w:ascii="Times New Roman" w:eastAsia="Times New Roman" w:hAnsi="Times New Roman" w:cs="Times New Roman"/>
          <w:sz w:val="24"/>
          <w:szCs w:val="24"/>
        </w:rPr>
        <w:t xml:space="preserve"> but this does not seem to convert into satisfactory collaboration with universities </w:t>
      </w:r>
      <w:r w:rsidRPr="00C7043B">
        <w:rPr>
          <w:rFonts w:ascii="Times New Roman" w:eastAsia="Times New Roman" w:hAnsi="Times New Roman" w:cs="Times New Roman"/>
          <w:noProof/>
          <w:sz w:val="24"/>
          <w:szCs w:val="24"/>
        </w:rPr>
        <w:t>or</w:t>
      </w:r>
      <w:r w:rsidRPr="00C7043B">
        <w:rPr>
          <w:rFonts w:ascii="Times New Roman" w:eastAsia="Times New Roman" w:hAnsi="Times New Roman" w:cs="Times New Roman"/>
          <w:sz w:val="24"/>
          <w:szCs w:val="24"/>
        </w:rPr>
        <w:t xml:space="preserve"> the quality of scientific research institutes. On the other hand, this may not be a </w:t>
      </w:r>
      <w:r w:rsidRPr="00C7043B">
        <w:rPr>
          <w:rFonts w:ascii="Times New Roman" w:eastAsia="Times New Roman" w:hAnsi="Times New Roman" w:cs="Times New Roman"/>
          <w:noProof/>
          <w:sz w:val="24"/>
          <w:szCs w:val="24"/>
        </w:rPr>
        <w:t>surprise</w:t>
      </w:r>
      <w:r w:rsidRPr="00C7043B">
        <w:rPr>
          <w:rFonts w:ascii="Times New Roman" w:eastAsia="Times New Roman" w:hAnsi="Times New Roman" w:cs="Times New Roman"/>
          <w:sz w:val="24"/>
          <w:szCs w:val="24"/>
        </w:rPr>
        <w:t xml:space="preserve"> given very low spending for R&amp;D at universities despite several successful attempts to </w:t>
      </w:r>
      <w:r w:rsidRPr="00C7043B">
        <w:rPr>
          <w:rFonts w:ascii="Times New Roman" w:eastAsia="Times New Roman" w:hAnsi="Times New Roman" w:cs="Times New Roman"/>
          <w:noProof/>
          <w:sz w:val="24"/>
          <w:szCs w:val="24"/>
        </w:rPr>
        <w:t>commercialise</w:t>
      </w:r>
      <w:r w:rsidRPr="00C7043B">
        <w:rPr>
          <w:rFonts w:ascii="Times New Roman" w:eastAsia="Times New Roman" w:hAnsi="Times New Roman" w:cs="Times New Roman"/>
          <w:sz w:val="24"/>
          <w:szCs w:val="24"/>
        </w:rPr>
        <w:t xml:space="preserve"> R&amp;D results through </w:t>
      </w:r>
      <w:r w:rsidRPr="00C7043B">
        <w:rPr>
          <w:rFonts w:ascii="Times New Roman" w:eastAsia="Times New Roman" w:hAnsi="Times New Roman" w:cs="Times New Roman"/>
          <w:noProof/>
          <w:sz w:val="24"/>
          <w:szCs w:val="24"/>
        </w:rPr>
        <w:t>spin-off</w:t>
      </w:r>
      <w:r w:rsidRPr="00C7043B">
        <w:rPr>
          <w:rFonts w:ascii="Times New Roman" w:eastAsia="Times New Roman" w:hAnsi="Times New Roman" w:cs="Times New Roman"/>
          <w:sz w:val="24"/>
          <w:szCs w:val="24"/>
        </w:rPr>
        <w:t xml:space="preserve"> companies. </w:t>
      </w:r>
      <w:r w:rsidRPr="00C7043B">
        <w:rPr>
          <w:rFonts w:ascii="Times New Roman" w:eastAsia="Times New Roman" w:hAnsi="Times New Roman" w:cs="Times New Roman"/>
          <w:noProof/>
          <w:sz w:val="24"/>
          <w:szCs w:val="24"/>
        </w:rPr>
        <w:t>This is</w:t>
      </w:r>
      <w:r w:rsidRPr="00C7043B">
        <w:rPr>
          <w:rFonts w:ascii="Times New Roman" w:eastAsia="Times New Roman" w:hAnsi="Times New Roman" w:cs="Times New Roman"/>
          <w:sz w:val="24"/>
          <w:szCs w:val="24"/>
        </w:rPr>
        <w:t xml:space="preserve"> quite worrying as it suggests that R&amp;D institutes </w:t>
      </w:r>
      <w:r w:rsidRPr="00C7043B">
        <w:rPr>
          <w:rFonts w:ascii="Times New Roman" w:eastAsia="Times New Roman" w:hAnsi="Times New Roman" w:cs="Times New Roman"/>
          <w:noProof/>
          <w:sz w:val="24"/>
          <w:szCs w:val="24"/>
        </w:rPr>
        <w:t>are not geared</w:t>
      </w:r>
      <w:r w:rsidRPr="00C7043B">
        <w:rPr>
          <w:rFonts w:ascii="Times New Roman" w:eastAsia="Times New Roman" w:hAnsi="Times New Roman" w:cs="Times New Roman"/>
          <w:sz w:val="24"/>
          <w:szCs w:val="24"/>
        </w:rPr>
        <w:t xml:space="preserve"> towards needs of the </w:t>
      </w:r>
      <w:r w:rsidRPr="00C7043B">
        <w:rPr>
          <w:rFonts w:ascii="Times New Roman" w:eastAsia="Times New Roman" w:hAnsi="Times New Roman" w:cs="Times New Roman"/>
          <w:noProof/>
          <w:sz w:val="24"/>
          <w:szCs w:val="24"/>
        </w:rPr>
        <w:t>business</w:t>
      </w:r>
      <w:r w:rsidRPr="00C7043B">
        <w:rPr>
          <w:rFonts w:ascii="Times New Roman" w:eastAsia="Times New Roman" w:hAnsi="Times New Roman" w:cs="Times New Roman"/>
          <w:sz w:val="24"/>
          <w:szCs w:val="24"/>
        </w:rPr>
        <w:t xml:space="preserve"> sector. However, given that Belarusian R&amp;D is </w:t>
      </w:r>
      <w:r w:rsidRPr="00C7043B">
        <w:rPr>
          <w:rFonts w:ascii="Times New Roman" w:eastAsia="Times New Roman" w:hAnsi="Times New Roman" w:cs="Times New Roman"/>
          <w:noProof/>
          <w:sz w:val="24"/>
          <w:szCs w:val="24"/>
        </w:rPr>
        <w:t>by and large</w:t>
      </w:r>
      <w:r w:rsidRPr="00C7043B">
        <w:rPr>
          <w:rFonts w:ascii="Times New Roman" w:eastAsia="Times New Roman" w:hAnsi="Times New Roman" w:cs="Times New Roman"/>
          <w:sz w:val="24"/>
          <w:szCs w:val="24"/>
        </w:rPr>
        <w:t xml:space="preserve"> oriented towards </w:t>
      </w:r>
      <w:r w:rsidRPr="00C7043B">
        <w:rPr>
          <w:rFonts w:ascii="Times New Roman" w:eastAsia="Times New Roman" w:hAnsi="Times New Roman" w:cs="Times New Roman"/>
          <w:noProof/>
          <w:sz w:val="24"/>
          <w:szCs w:val="24"/>
        </w:rPr>
        <w:t>corporate</w:t>
      </w:r>
      <w:r w:rsidRPr="00C7043B">
        <w:rPr>
          <w:rFonts w:ascii="Times New Roman" w:eastAsia="Times New Roman" w:hAnsi="Times New Roman" w:cs="Times New Roman"/>
          <w:sz w:val="24"/>
          <w:szCs w:val="24"/>
        </w:rPr>
        <w:t xml:space="preserve"> </w:t>
      </w:r>
      <w:r w:rsidRPr="00C7043B">
        <w:rPr>
          <w:rFonts w:ascii="Times New Roman" w:eastAsia="Times New Roman" w:hAnsi="Times New Roman" w:cs="Times New Roman"/>
          <w:noProof/>
          <w:sz w:val="24"/>
          <w:szCs w:val="24"/>
        </w:rPr>
        <w:t>sector</w:t>
      </w:r>
      <w:r w:rsidRPr="00C7043B">
        <w:rPr>
          <w:rFonts w:ascii="Times New Roman" w:eastAsia="Times New Roman" w:hAnsi="Times New Roman" w:cs="Times New Roman"/>
          <w:sz w:val="24"/>
          <w:szCs w:val="24"/>
        </w:rPr>
        <w:t xml:space="preserve"> this seems quite counterintuitive and deserves further scrutiny.  Finally, Belarus is very marginally involved in world frontier technology activities as demonstrated by extremely low PCT patents per capita. </w:t>
      </w:r>
      <w:r w:rsidRPr="00C7043B">
        <w:rPr>
          <w:rFonts w:ascii="Times New Roman" w:eastAsia="Times New Roman" w:hAnsi="Times New Roman" w:cs="Times New Roman"/>
          <w:noProof/>
          <w:sz w:val="24"/>
          <w:szCs w:val="24"/>
        </w:rPr>
        <w:t>This is</w:t>
      </w:r>
      <w:r w:rsidRPr="00C7043B">
        <w:rPr>
          <w:rFonts w:ascii="Times New Roman" w:eastAsia="Times New Roman" w:hAnsi="Times New Roman" w:cs="Times New Roman"/>
          <w:sz w:val="24"/>
          <w:szCs w:val="24"/>
        </w:rPr>
        <w:t xml:space="preserve"> partly due to poor IPR protection system and weak government procurement policy but is mainly due to production orientation of Belarusian R&amp;D. Belarusian innovation effort is much around domestic technology effort and production activities than about R&amp;D and technology activity as an </w:t>
      </w:r>
      <w:r w:rsidRPr="00C7043B">
        <w:rPr>
          <w:rFonts w:ascii="Times New Roman" w:eastAsia="Times New Roman" w:hAnsi="Times New Roman" w:cs="Times New Roman"/>
          <w:noProof/>
          <w:sz w:val="24"/>
          <w:szCs w:val="24"/>
        </w:rPr>
        <w:t>independent</w:t>
      </w:r>
      <w:r w:rsidRPr="00C7043B">
        <w:rPr>
          <w:rFonts w:ascii="Times New Roman" w:eastAsia="Times New Roman" w:hAnsi="Times New Roman" w:cs="Times New Roman"/>
          <w:sz w:val="24"/>
          <w:szCs w:val="24"/>
        </w:rPr>
        <w:t xml:space="preserve"> source of growth. Similar to Russia and Ukraine, the impact of FDI on technology transfer is also low </w:t>
      </w:r>
      <w:r w:rsidRPr="00C7043B">
        <w:rPr>
          <w:rFonts w:ascii="Times New Roman" w:eastAsia="Times New Roman" w:hAnsi="Times New Roman" w:cs="Times New Roman"/>
          <w:noProof/>
          <w:sz w:val="24"/>
          <w:szCs w:val="24"/>
        </w:rPr>
        <w:t>mainly</w:t>
      </w:r>
      <w:r w:rsidRPr="00C7043B">
        <w:rPr>
          <w:rFonts w:ascii="Times New Roman" w:eastAsia="Times New Roman" w:hAnsi="Times New Roman" w:cs="Times New Roman"/>
          <w:sz w:val="24"/>
          <w:szCs w:val="24"/>
        </w:rPr>
        <w:t xml:space="preserve"> due to low share of FDI.</w:t>
      </w:r>
    </w:p>
    <w:p w:rsidR="00966EE7" w:rsidRPr="00C7043B" w:rsidRDefault="00966EE7" w:rsidP="00966EE7">
      <w:pPr>
        <w:spacing w:after="0" w:line="240" w:lineRule="auto"/>
        <w:rPr>
          <w:rFonts w:ascii="Times New Roman" w:eastAsia="Times New Roman" w:hAnsi="Times New Roman" w:cs="Times New Roman"/>
          <w:sz w:val="24"/>
          <w:szCs w:val="24"/>
        </w:rPr>
      </w:pPr>
    </w:p>
    <w:p w:rsidR="00966EE7" w:rsidRPr="00852910" w:rsidRDefault="00966EE7" w:rsidP="00966EE7">
      <w:pPr>
        <w:spacing w:after="0" w:line="240" w:lineRule="auto"/>
        <w:contextualSpacing/>
        <w:jc w:val="center"/>
        <w:rPr>
          <w:rFonts w:ascii="Times New Roman" w:eastAsia="Times New Roman" w:hAnsi="Times New Roman" w:cs="Times New Roman"/>
          <w:sz w:val="24"/>
          <w:szCs w:val="24"/>
        </w:rPr>
      </w:pPr>
      <w:r w:rsidRPr="00852910">
        <w:rPr>
          <w:rFonts w:ascii="Times New Roman" w:eastAsia="Times New Roman" w:hAnsi="Times New Roman" w:cs="Times New Roman"/>
          <w:sz w:val="24"/>
          <w:szCs w:val="24"/>
        </w:rPr>
        <w:t>Table 8: Belarus in ‘innovation part’ of WEF GCR 2015</w:t>
      </w:r>
    </w:p>
    <w:p w:rsidR="00966EE7" w:rsidRPr="00C7043B" w:rsidRDefault="00966EE7" w:rsidP="00966EE7">
      <w:pPr>
        <w:spacing w:after="0" w:line="240" w:lineRule="auto"/>
        <w:contextualSpacing/>
        <w:rPr>
          <w:rFonts w:ascii="Times New Roman" w:eastAsia="Times New Roman" w:hAnsi="Times New Roman" w:cs="Times New Roman"/>
          <w:sz w:val="24"/>
          <w:szCs w:val="24"/>
        </w:rPr>
      </w:pPr>
      <w:r w:rsidRPr="00C7043B">
        <w:rPr>
          <w:rFonts w:ascii="Times New Roman" w:eastAsia="Times New Roman" w:hAnsi="Times New Roman" w:cs="Times New Roman"/>
          <w:noProof/>
          <w:sz w:val="24"/>
          <w:szCs w:val="24"/>
          <w:lang w:val="ru-RU" w:eastAsia="ru-RU"/>
        </w:rPr>
        <w:drawing>
          <wp:inline distT="0" distB="0" distL="0" distR="0" wp14:anchorId="1E21C88C" wp14:editId="11176E04">
            <wp:extent cx="5270500" cy="2716676"/>
            <wp:effectExtent l="19050" t="0" r="635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70500" cy="2716676"/>
                    </a:xfrm>
                    <a:prstGeom prst="rect">
                      <a:avLst/>
                    </a:prstGeom>
                    <a:noFill/>
                    <a:ln w="9525">
                      <a:noFill/>
                      <a:miter lim="800000"/>
                      <a:headEnd/>
                      <a:tailEnd/>
                    </a:ln>
                  </pic:spPr>
                </pic:pic>
              </a:graphicData>
            </a:graphic>
          </wp:inline>
        </w:drawing>
      </w:r>
    </w:p>
    <w:p w:rsidR="00966EE7" w:rsidRPr="00C7043B" w:rsidRDefault="00966EE7" w:rsidP="00966EE7">
      <w:pPr>
        <w:spacing w:after="0" w:line="240" w:lineRule="auto"/>
        <w:contextualSpacing/>
        <w:rPr>
          <w:rFonts w:ascii="Times New Roman" w:eastAsia="Times New Roman" w:hAnsi="Times New Roman" w:cs="Times New Roman"/>
          <w:sz w:val="20"/>
          <w:szCs w:val="24"/>
        </w:rPr>
      </w:pPr>
      <w:r w:rsidRPr="00C7043B">
        <w:rPr>
          <w:rFonts w:ascii="Times New Roman" w:eastAsia="Times New Roman" w:hAnsi="Times New Roman" w:cs="Times New Roman"/>
          <w:sz w:val="20"/>
          <w:szCs w:val="24"/>
        </w:rPr>
        <w:t xml:space="preserve">Source: </w:t>
      </w:r>
      <w:r w:rsidRPr="00C7043B">
        <w:rPr>
          <w:rFonts w:ascii="Times New Roman" w:eastAsia="Times New Roman" w:hAnsi="Times New Roman" w:cs="Times New Roman"/>
          <w:noProof/>
          <w:sz w:val="20"/>
          <w:szCs w:val="24"/>
        </w:rPr>
        <w:t>BELISA</w:t>
      </w:r>
      <w:r w:rsidRPr="00C7043B">
        <w:rPr>
          <w:rFonts w:ascii="Times New Roman" w:eastAsia="Times New Roman" w:hAnsi="Times New Roman" w:cs="Times New Roman"/>
          <w:sz w:val="20"/>
          <w:szCs w:val="24"/>
        </w:rPr>
        <w:t xml:space="preserve"> 2015 Innovation and Company Survey</w:t>
      </w:r>
    </w:p>
    <w:p w:rsidR="00DC62AB" w:rsidRPr="00C7043B" w:rsidRDefault="00DC62AB" w:rsidP="006F2E30">
      <w:pPr>
        <w:spacing w:after="0" w:line="240" w:lineRule="auto"/>
        <w:jc w:val="both"/>
        <w:rPr>
          <w:rFonts w:ascii="Times New Roman" w:hAnsi="Times New Roman" w:cs="Times New Roman"/>
          <w:sz w:val="24"/>
          <w:szCs w:val="24"/>
        </w:rPr>
      </w:pPr>
    </w:p>
    <w:p w:rsidR="00DC62AB" w:rsidRPr="00C7043B" w:rsidRDefault="00DC62AB" w:rsidP="006F2E30">
      <w:pPr>
        <w:spacing w:after="0" w:line="240" w:lineRule="auto"/>
        <w:jc w:val="both"/>
        <w:rPr>
          <w:rFonts w:ascii="Times New Roman" w:hAnsi="Times New Roman" w:cs="Times New Roman"/>
          <w:sz w:val="24"/>
          <w:szCs w:val="24"/>
        </w:rPr>
      </w:pPr>
    </w:p>
    <w:p w:rsidR="006F2E30" w:rsidRPr="00C7043B" w:rsidRDefault="006F2E30" w:rsidP="006F2E30">
      <w:pPr>
        <w:spacing w:after="0" w:line="240" w:lineRule="auto"/>
        <w:jc w:val="both"/>
        <w:rPr>
          <w:rFonts w:ascii="Times New Roman" w:hAnsi="Times New Roman" w:cs="Times New Roman"/>
          <w:sz w:val="24"/>
          <w:szCs w:val="24"/>
        </w:rPr>
      </w:pPr>
      <w:r w:rsidRPr="00C7043B">
        <w:rPr>
          <w:rFonts w:ascii="Times New Roman" w:hAnsi="Times New Roman" w:cs="Times New Roman"/>
          <w:sz w:val="24"/>
          <w:szCs w:val="24"/>
        </w:rPr>
        <w:t>The overall conclusion</w:t>
      </w:r>
      <w:r w:rsidR="00047D47">
        <w:rPr>
          <w:rFonts w:ascii="Times New Roman" w:hAnsi="Times New Roman" w:cs="Times New Roman"/>
          <w:sz w:val="24"/>
          <w:szCs w:val="24"/>
        </w:rPr>
        <w:t xml:space="preserve"> of the comparative analysis of Belarus’ performance in international rankings</w:t>
      </w:r>
      <w:r w:rsidRPr="00C7043B">
        <w:rPr>
          <w:rFonts w:ascii="Times New Roman" w:hAnsi="Times New Roman" w:cs="Times New Roman"/>
          <w:sz w:val="24"/>
          <w:szCs w:val="24"/>
        </w:rPr>
        <w:t xml:space="preserve"> is three-fold. First, the potential for technology upgrading of Belarus is very firmly rooted in the CIS growth model and thus shares with countries in this region (e.g. Russia, Ukraine and Kazakhstan) several structural features.  These economies are characterised by weak production capabilities, weak firm differentiation, marginal world technology frontier </w:t>
      </w:r>
      <w:r w:rsidRPr="00C7043B">
        <w:rPr>
          <w:rFonts w:ascii="Times New Roman" w:hAnsi="Times New Roman" w:cs="Times New Roman"/>
          <w:sz w:val="24"/>
          <w:szCs w:val="24"/>
        </w:rPr>
        <w:lastRenderedPageBreak/>
        <w:t>activities, and isolated R&amp;D systems. Second, the gap between developed and Central European peers is the biggest in the intensity of technology upgrading as reflected in low production capability, R&amp;D and technology capability. Belarus does well regarding infrastructural (human and physical capital based) but lags regarding lacking structural change and firm-level capabilities. Third, similar to the CIS peers Belarus lags behind regarding intensity of interaction and knowledge exchange with the global economy. It is outside of GVCs, has a low share of FDI though post-2008 it becomes more similar to its peers. It is encouraging that its share of ICT is growing and may become a major driver of macro growth if this sector continues to expand.</w:t>
      </w:r>
    </w:p>
    <w:p w:rsidR="006F2E30" w:rsidRPr="00C7043B" w:rsidRDefault="006F2E30" w:rsidP="006E02AF">
      <w:pPr>
        <w:spacing w:after="0" w:line="240" w:lineRule="auto"/>
        <w:jc w:val="both"/>
        <w:rPr>
          <w:rFonts w:ascii="Times New Roman" w:hAnsi="Times New Roman" w:cs="Times New Roman"/>
          <w:sz w:val="24"/>
          <w:szCs w:val="24"/>
        </w:rPr>
      </w:pPr>
    </w:p>
    <w:p w:rsidR="0068566D" w:rsidRPr="00EB3BDB" w:rsidRDefault="0068566D" w:rsidP="0068566D">
      <w:pPr>
        <w:spacing w:after="0" w:line="240" w:lineRule="auto"/>
        <w:jc w:val="both"/>
        <w:rPr>
          <w:rFonts w:ascii="Times New Roman" w:hAnsi="Times New Roman" w:cs="Times New Roman"/>
          <w:i/>
          <w:sz w:val="24"/>
          <w:szCs w:val="24"/>
        </w:rPr>
      </w:pPr>
      <w:r w:rsidRPr="00EB3BDB">
        <w:rPr>
          <w:rFonts w:ascii="Times New Roman" w:hAnsi="Times New Roman" w:cs="Times New Roman"/>
          <w:i/>
          <w:sz w:val="24"/>
          <w:szCs w:val="24"/>
        </w:rPr>
        <w:t xml:space="preserve">Identifying strength and bottlenecks in Belarus’s innovation performance from a micro-level perspective. </w:t>
      </w:r>
    </w:p>
    <w:p w:rsidR="0068566D" w:rsidRPr="00532061"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A national system of innovation of Belarus is very much oriented towards production capability or supporting problem-solving in the business enterprise sector. There is extensive support for new technology-based firms (NTBFs), but </w:t>
      </w:r>
      <w:r>
        <w:rPr>
          <w:rFonts w:ascii="Times New Roman" w:hAnsi="Times New Roman" w:cs="Times New Roman"/>
          <w:sz w:val="24"/>
          <w:szCs w:val="24"/>
        </w:rPr>
        <w:t>t</w:t>
      </w:r>
      <w:r w:rsidRPr="00532061">
        <w:rPr>
          <w:rFonts w:ascii="Times New Roman" w:hAnsi="Times New Roman" w:cs="Times New Roman"/>
          <w:sz w:val="24"/>
          <w:szCs w:val="24"/>
        </w:rPr>
        <w:t xml:space="preserve">hese efforts have not yet been reflected </w:t>
      </w:r>
      <w:r>
        <w:rPr>
          <w:rFonts w:ascii="Times New Roman" w:hAnsi="Times New Roman" w:cs="Times New Roman"/>
          <w:sz w:val="24"/>
          <w:szCs w:val="24"/>
        </w:rPr>
        <w:t>in any comparative</w:t>
      </w:r>
      <w:r w:rsidRPr="00532061">
        <w:rPr>
          <w:rFonts w:ascii="Times New Roman" w:hAnsi="Times New Roman" w:cs="Times New Roman"/>
          <w:sz w:val="24"/>
          <w:szCs w:val="24"/>
        </w:rPr>
        <w:t xml:space="preserve"> indicators except in the export of ICT services. Nevertheless, NTBFS are vital as knowledge brokers and specialised suppliers. Their growth is eventually dependent on the growth of large firms especially given that </w:t>
      </w:r>
      <w:r>
        <w:rPr>
          <w:rFonts w:ascii="Times New Roman" w:hAnsi="Times New Roman" w:cs="Times New Roman"/>
          <w:sz w:val="24"/>
          <w:szCs w:val="24"/>
        </w:rPr>
        <w:t>“</w:t>
      </w:r>
      <w:r w:rsidRPr="00532061">
        <w:rPr>
          <w:rFonts w:ascii="Times New Roman" w:hAnsi="Times New Roman" w:cs="Times New Roman"/>
          <w:sz w:val="24"/>
          <w:szCs w:val="24"/>
        </w:rPr>
        <w:t>gazelles</w:t>
      </w:r>
      <w:r>
        <w:rPr>
          <w:rFonts w:ascii="Times New Roman" w:hAnsi="Times New Roman" w:cs="Times New Roman"/>
          <w:sz w:val="24"/>
          <w:szCs w:val="24"/>
        </w:rPr>
        <w:t>”</w:t>
      </w:r>
      <w:r w:rsidRPr="00532061">
        <w:rPr>
          <w:rFonts w:ascii="Times New Roman" w:hAnsi="Times New Roman" w:cs="Times New Roman"/>
          <w:sz w:val="24"/>
          <w:szCs w:val="24"/>
        </w:rPr>
        <w:t xml:space="preserve"> type of NTBFs are still in their early stages of internationalisation with only a few high-profile exceptions. </w:t>
      </w:r>
    </w:p>
    <w:p w:rsidR="0068566D" w:rsidRDefault="0068566D" w:rsidP="0068566D">
      <w:pPr>
        <w:spacing w:after="0" w:line="240" w:lineRule="auto"/>
        <w:jc w:val="both"/>
        <w:rPr>
          <w:rFonts w:ascii="Times New Roman" w:hAnsi="Times New Roman" w:cs="Times New Roman"/>
          <w:sz w:val="24"/>
          <w:szCs w:val="24"/>
        </w:rPr>
      </w:pPr>
    </w:p>
    <w:p w:rsidR="0068566D" w:rsidRPr="00532061"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w:t>
      </w:r>
      <w:r w:rsidRPr="00532061">
        <w:rPr>
          <w:rFonts w:ascii="Times New Roman" w:hAnsi="Times New Roman" w:cs="Times New Roman"/>
          <w:sz w:val="24"/>
          <w:szCs w:val="24"/>
        </w:rPr>
        <w:t>roduction orientation of public R&amp;D is visible in</w:t>
      </w:r>
      <w:r w:rsidR="00FE0D69">
        <w:rPr>
          <w:rFonts w:ascii="Times New Roman" w:hAnsi="Times New Roman" w:cs="Times New Roman"/>
          <w:sz w:val="24"/>
          <w:szCs w:val="24"/>
        </w:rPr>
        <w:t xml:space="preserve"> the</w:t>
      </w:r>
      <w:r w:rsidRPr="00532061">
        <w:rPr>
          <w:rFonts w:ascii="Times New Roman" w:hAnsi="Times New Roman" w:cs="Times New Roman"/>
          <w:sz w:val="24"/>
          <w:szCs w:val="24"/>
        </w:rPr>
        <w:t xml:space="preserve"> high share of applied R&amp;D at universities, through a very low proportion of blue sky basic research and close links between companies and universities as well as through commercialization activities of universities. The downside of this is neglect of research excellence at both universities and Academy of Sciences. It seems that the Belarusian R&amp;D system is very much downstream oriented when compared to its peer countries like EU new members states.  </w:t>
      </w:r>
    </w:p>
    <w:p w:rsidR="0068566D" w:rsidRPr="00532061" w:rsidRDefault="0068566D" w:rsidP="0068566D">
      <w:pPr>
        <w:spacing w:after="0" w:line="240" w:lineRule="auto"/>
        <w:jc w:val="both"/>
        <w:rPr>
          <w:rFonts w:ascii="Times New Roman" w:hAnsi="Times New Roman" w:cs="Times New Roman"/>
          <w:sz w:val="24"/>
          <w:szCs w:val="24"/>
        </w:rPr>
      </w:pPr>
    </w:p>
    <w:p w:rsidR="0068566D" w:rsidRPr="00532061"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Business sector does not have developed in-house R&amp;D and in that respect, the extramural R&amp;D (Academy and universities) plays a role of knowledge-intensive service industry while branch R&amp;D typical for Soviet R&amp;D system and still present in post-Soviet context is de facto not very developed. Business sector R&amp;D is largely funded from public pursue</w:t>
      </w:r>
      <w:r>
        <w:rPr>
          <w:rFonts w:ascii="Times New Roman" w:hAnsi="Times New Roman" w:cs="Times New Roman"/>
          <w:sz w:val="24"/>
          <w:szCs w:val="24"/>
        </w:rPr>
        <w:t>,</w:t>
      </w:r>
      <w:r w:rsidRPr="00532061">
        <w:rPr>
          <w:rFonts w:ascii="Times New Roman" w:hAnsi="Times New Roman" w:cs="Times New Roman"/>
          <w:sz w:val="24"/>
          <w:szCs w:val="24"/>
        </w:rPr>
        <w:t xml:space="preserve"> which together with very limited own R&amp;D at universities and academy creates active but technologically not very dynamic R&amp;D system. The production oriented R&amp;D system is further reinforced by the low-risk approach to public funding of R&amp;D where guaranteed return on budgetary funds is sine qua non.</w:t>
      </w:r>
    </w:p>
    <w:p w:rsidR="0068566D" w:rsidRPr="00532061"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 </w:t>
      </w:r>
    </w:p>
    <w:p w:rsidR="0068566D"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Since</w:t>
      </w:r>
      <w:r w:rsidR="00FE0D69">
        <w:rPr>
          <w:rFonts w:ascii="Times New Roman" w:hAnsi="Times New Roman" w:cs="Times New Roman"/>
          <w:sz w:val="24"/>
          <w:szCs w:val="24"/>
        </w:rPr>
        <w:t xml:space="preserve"> the time of the first Innovation Performance Review,</w:t>
      </w:r>
      <w:r w:rsidRPr="00532061">
        <w:rPr>
          <w:rFonts w:ascii="Times New Roman" w:hAnsi="Times New Roman" w:cs="Times New Roman"/>
          <w:sz w:val="24"/>
          <w:szCs w:val="24"/>
        </w:rPr>
        <w:t xml:space="preserve"> there has been further strengthening of NTBFs path of technology upgrading of Belarus which is to be praised. This is visible through strengthening of two major technology parks and through successful operation of NTBFs and their good performance in export. This is coupled with state support through financial and other incentives. However, </w:t>
      </w:r>
      <w:r>
        <w:rPr>
          <w:rFonts w:ascii="Times New Roman" w:hAnsi="Times New Roman" w:cs="Times New Roman"/>
          <w:sz w:val="24"/>
          <w:szCs w:val="24"/>
        </w:rPr>
        <w:t>a pending challenge</w:t>
      </w:r>
      <w:r w:rsidRPr="00532061">
        <w:rPr>
          <w:rFonts w:ascii="Times New Roman" w:hAnsi="Times New Roman" w:cs="Times New Roman"/>
          <w:sz w:val="24"/>
          <w:szCs w:val="24"/>
        </w:rPr>
        <w:t xml:space="preserve"> </w:t>
      </w:r>
      <w:r>
        <w:rPr>
          <w:rFonts w:ascii="Times New Roman" w:hAnsi="Times New Roman" w:cs="Times New Roman"/>
          <w:sz w:val="24"/>
          <w:szCs w:val="24"/>
        </w:rPr>
        <w:t>i</w:t>
      </w:r>
      <w:r w:rsidRPr="00532061">
        <w:rPr>
          <w:rFonts w:ascii="Times New Roman" w:hAnsi="Times New Roman" w:cs="Times New Roman"/>
          <w:sz w:val="24"/>
          <w:szCs w:val="24"/>
        </w:rPr>
        <w:t>s to enhance the other path (large enterprises) and to promote complementarities between two paths</w:t>
      </w:r>
      <w:r>
        <w:rPr>
          <w:rFonts w:ascii="Times New Roman" w:hAnsi="Times New Roman" w:cs="Times New Roman"/>
          <w:sz w:val="24"/>
          <w:szCs w:val="24"/>
        </w:rPr>
        <w:t>.</w:t>
      </w:r>
      <w:r w:rsidRPr="00532061">
        <w:rPr>
          <w:rFonts w:ascii="Times New Roman" w:hAnsi="Times New Roman" w:cs="Times New Roman"/>
          <w:sz w:val="24"/>
          <w:szCs w:val="24"/>
        </w:rPr>
        <w:t xml:space="preserve"> </w:t>
      </w:r>
    </w:p>
    <w:p w:rsidR="0068566D"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A new perspective argues that it is an innovation ecosystem rather than NTBFs or large firms per se that are driving innovation. In other words, large firms (such as Apple) interact with small technology-based firms (such as software companies developing apps for Apple products) which innovate based on large enterprises’ stable technology platforms (Mandel, 2011, p.6 ).</w:t>
      </w:r>
    </w:p>
    <w:p w:rsidR="0068566D" w:rsidRPr="00532061"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lastRenderedPageBreak/>
        <w:t xml:space="preserve">Research shows that high growth firms are not necessarily high-tech firms and the capacity of policy or a state modernization project to target such firms is expected to be quite low. An alternative objective would be to think of NTBFs as new actors in industrial and knowledge system which can foster structural change and productivity growth through linkages with other firms. NTBFs may not be high growth firms themselves but act as knowledge suppliers to other enterprises i.e. as specialised suppliers. </w:t>
      </w:r>
    </w:p>
    <w:p w:rsidR="0068566D" w:rsidRPr="00532061" w:rsidRDefault="0068566D" w:rsidP="0068566D">
      <w:pPr>
        <w:spacing w:after="0" w:line="240" w:lineRule="auto"/>
        <w:jc w:val="both"/>
        <w:rPr>
          <w:rFonts w:ascii="Times New Roman" w:hAnsi="Times New Roman" w:cs="Times New Roman"/>
          <w:sz w:val="24"/>
          <w:szCs w:val="24"/>
        </w:rPr>
      </w:pPr>
    </w:p>
    <w:p w:rsidR="0068566D" w:rsidRPr="00532061" w:rsidRDefault="0068566D" w:rsidP="0068566D">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Overall, the majority of NTBFs are not a direct and independent source of growth, but rather an indirect source of new knowledge, employment and value added. They require a market (users) for the new technologies produced. The main drivers for the growth of NTBFs are large firms provided that they are innovation oriented. So, instead of only focusing on NTBFs Belarusian RDI policy should focus much more on how to enhance innovation behaviour of large firms. These issues include reconsiderations of corporate governance, competition policy and strengthening links between large and small firms and the inclusion of large firms into global and EU value chains as subcontractors.</w:t>
      </w:r>
    </w:p>
    <w:p w:rsidR="0068566D" w:rsidRPr="00532061"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w:t>
      </w:r>
      <w:r w:rsidRPr="00532061">
        <w:rPr>
          <w:rFonts w:ascii="Times New Roman" w:hAnsi="Times New Roman" w:cs="Times New Roman"/>
          <w:sz w:val="24"/>
          <w:szCs w:val="24"/>
        </w:rPr>
        <w:t xml:space="preserve">entralization of innovation fund is a great opportunity but equally carries its risks. Its advantages are that funds will not be locked into individual ministries, but there will be more opportunities for reallocations, investments in new areas and thus potentially more structural change. Also, centralization may enable concentration of project competencies and their improvement. On the other hand, risks of poor implementation may lead to much higher overall costs if the unified system does not work effectively. </w:t>
      </w:r>
    </w:p>
    <w:p w:rsidR="0068566D" w:rsidRDefault="0068566D" w:rsidP="0068566D">
      <w:pPr>
        <w:spacing w:after="0" w:line="240" w:lineRule="auto"/>
        <w:jc w:val="both"/>
        <w:rPr>
          <w:rFonts w:ascii="Times New Roman" w:hAnsi="Times New Roman" w:cs="Times New Roman"/>
          <w:sz w:val="24"/>
          <w:szCs w:val="24"/>
        </w:rPr>
      </w:pPr>
    </w:p>
    <w:p w:rsidR="006F2E30" w:rsidRPr="00043091" w:rsidRDefault="00043091" w:rsidP="006E02AF">
      <w:pPr>
        <w:spacing w:after="0" w:line="240" w:lineRule="auto"/>
        <w:jc w:val="both"/>
        <w:rPr>
          <w:rFonts w:ascii="Times New Roman" w:hAnsi="Times New Roman" w:cs="Times New Roman"/>
          <w:i/>
          <w:sz w:val="24"/>
          <w:szCs w:val="24"/>
        </w:rPr>
      </w:pPr>
      <w:r w:rsidRPr="00043091">
        <w:rPr>
          <w:rFonts w:ascii="Times New Roman" w:hAnsi="Times New Roman" w:cs="Times New Roman"/>
          <w:i/>
          <w:sz w:val="24"/>
          <w:szCs w:val="24"/>
        </w:rPr>
        <w:t>Statistics collection</w:t>
      </w:r>
    </w:p>
    <w:p w:rsidR="00043091" w:rsidRDefault="00043091" w:rsidP="006E02AF">
      <w:pPr>
        <w:spacing w:after="0" w:line="240" w:lineRule="auto"/>
        <w:jc w:val="both"/>
        <w:rPr>
          <w:rFonts w:ascii="Times New Roman" w:hAnsi="Times New Roman" w:cs="Times New Roman"/>
          <w:sz w:val="24"/>
          <w:szCs w:val="24"/>
        </w:rPr>
      </w:pPr>
    </w:p>
    <w:p w:rsid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The first innovation policy review of Belarus had recommended the Government to update its methodology for the collection of innovation statistics with the goal to follow internationally agreed standards in similar areas of statistical practice. Such reform would improve the benchmarking of national innovation performance levels across a broad range of EU and non-EU countries based on a common methodology. In order to introduce important components of internationally-accepted standards, the following measures were proposed: </w:t>
      </w:r>
    </w:p>
    <w:p w:rsidR="00043091" w:rsidRP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7D6F1B">
      <w:pPr>
        <w:pStyle w:val="ad"/>
        <w:numPr>
          <w:ilvl w:val="0"/>
          <w:numId w:val="1"/>
        </w:num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adoption of a R&amp;D survey according to the OECD (2002) Frascati Manual, Proposed Standard Practice for Surveys on Research and Experimental Development; </w:t>
      </w:r>
    </w:p>
    <w:p w:rsidR="00043091" w:rsidRPr="00043091" w:rsidRDefault="00043091" w:rsidP="007D6F1B">
      <w:pPr>
        <w:pStyle w:val="ad"/>
        <w:numPr>
          <w:ilvl w:val="0"/>
          <w:numId w:val="1"/>
        </w:num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adoption of the system of monitoring of Government budget appropriations for R&amp;D (i.e. GBOARD which monitors budget spending on S&amp;T based on socio-economic objectives);</w:t>
      </w:r>
    </w:p>
    <w:p w:rsidR="00043091" w:rsidRPr="00043091" w:rsidRDefault="00043091" w:rsidP="007D6F1B">
      <w:pPr>
        <w:pStyle w:val="ad"/>
        <w:numPr>
          <w:ilvl w:val="0"/>
          <w:numId w:val="1"/>
        </w:num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 Introduction and harmonization of Innovation Survey Statistics based on the OECD/European Commission (2005) Oslo Manual, Guidelines for Collecting and Interpreting Innovation Data;</w:t>
      </w:r>
    </w:p>
    <w:p w:rsidR="00043091" w:rsidRPr="00043091" w:rsidRDefault="00043091" w:rsidP="007D6F1B">
      <w:pPr>
        <w:pStyle w:val="ad"/>
        <w:numPr>
          <w:ilvl w:val="0"/>
          <w:numId w:val="1"/>
        </w:num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harmonization of Science and Technology Statistics with guidelines in the OECD (1995) Canberra Manual on the Measurement of Human Resources devoted to Science and Technology (S&amp;T); </w:t>
      </w:r>
    </w:p>
    <w:p w:rsidR="00043091" w:rsidRPr="00043091" w:rsidRDefault="00043091" w:rsidP="007D6F1B">
      <w:pPr>
        <w:pStyle w:val="ad"/>
        <w:numPr>
          <w:ilvl w:val="0"/>
          <w:numId w:val="1"/>
        </w:num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and benchmarking the scope within the framework provided by the Community Innovation Survey (CIS) 2008 that is used in the EU for statistics on innovation activities of enterprises.</w:t>
      </w:r>
    </w:p>
    <w:p w:rsidR="00043091" w:rsidRDefault="00043091" w:rsidP="00043091">
      <w:pPr>
        <w:spacing w:after="0" w:line="240" w:lineRule="auto"/>
        <w:jc w:val="both"/>
        <w:rPr>
          <w:rFonts w:ascii="Times New Roman" w:hAnsi="Times New Roman" w:cs="Times New Roman"/>
          <w:sz w:val="24"/>
          <w:szCs w:val="24"/>
        </w:rPr>
      </w:pPr>
    </w:p>
    <w:p w:rsid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In addition, to achieve better comparability of the national innovation and R&amp;D statistics it was also recommended to gradually introduce, harmonize or update a number of major classifications which serve as a basis for S&amp;T and innovation statistics, including in the </w:t>
      </w:r>
      <w:r w:rsidRPr="00043091">
        <w:rPr>
          <w:rFonts w:ascii="Times New Roman" w:hAnsi="Times New Roman" w:cs="Times New Roman"/>
          <w:sz w:val="24"/>
          <w:szCs w:val="24"/>
        </w:rPr>
        <w:lastRenderedPageBreak/>
        <w:t>system of national accounts, education, labour, trade as well as on various activities classifications and nomenclatures (see IPR, 2010 p. 18-19).</w:t>
      </w:r>
    </w:p>
    <w:p w:rsidR="00641135" w:rsidRPr="00043091" w:rsidRDefault="00641135"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During the period 2011-2016, the National Statistics Office (Belstat) made significant progress to better align national systems with international practice in line with the recommendations of the report. Important reforms were undertaken, including the adoption of indicators consistent with the EU Innovation Scoreboard and regular innovation surveys at the firm level. </w:t>
      </w:r>
    </w:p>
    <w:p w:rsid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With a view to improve the comparability of statistics, international standards were adopted to improve conceptual definitions, methodologies and approaches in the study of innovation. In particular, guidance by the Organisation for Economic Cooperation and Development (OECD), Eurostat, as well as the UNESCO Institute for statistics was used as a source. Accordingly, new definitions for the gathering of statistics were adopted including the following: definitions of what is innovation</w:t>
      </w:r>
      <w:r w:rsidR="00641135">
        <w:rPr>
          <w:rFonts w:ascii="Times New Roman" w:hAnsi="Times New Roman" w:cs="Times New Roman"/>
          <w:sz w:val="24"/>
          <w:szCs w:val="24"/>
        </w:rPr>
        <w:t xml:space="preserve"> (</w:t>
      </w:r>
      <w:r w:rsidRPr="00043091">
        <w:rPr>
          <w:rFonts w:ascii="Times New Roman" w:hAnsi="Times New Roman" w:cs="Times New Roman"/>
          <w:sz w:val="24"/>
          <w:szCs w:val="24"/>
        </w:rPr>
        <w:t>with examples of product, process, organisational and marketing innovation</w:t>
      </w:r>
      <w:r w:rsidR="00641135">
        <w:rPr>
          <w:rFonts w:ascii="Times New Roman" w:hAnsi="Times New Roman" w:cs="Times New Roman"/>
          <w:sz w:val="24"/>
          <w:szCs w:val="24"/>
        </w:rPr>
        <w:t>)</w:t>
      </w:r>
      <w:r w:rsidRPr="00043091">
        <w:rPr>
          <w:rFonts w:ascii="Times New Roman" w:hAnsi="Times New Roman" w:cs="Times New Roman"/>
          <w:sz w:val="24"/>
          <w:szCs w:val="24"/>
        </w:rPr>
        <w:t>; explanations of the components and range of innovation; and harmonization of existing questionnaires with international practice.</w:t>
      </w:r>
    </w:p>
    <w:p w:rsid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As a result, the questionnaires now contain both quantitative and qualitative data requests about the innovative activity of firms, including classification by type of costs, sources of financing and the impact of innovation on productivity. Also addressed are factors hindering innovation, as well as the ecological aspects of innovations.  Given the priority of industrial production in the economic structure of Belarus, the population for the innovation surveys consists of firms belonging to the manufacturing and services sectors (i.e. communications and computer technology).</w:t>
      </w:r>
    </w:p>
    <w:p w:rsid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With regards to international comparisons, work was undertaken to produce indicators that allow for the comparative evaluation of Belarus with the other countries covered by the EU Innovation Scoreboard Union (IUS). Statistics are developed annually and published for 16 of the total 25 indicators.</w:t>
      </w:r>
    </w:p>
    <w:p w:rsid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 xml:space="preserve">Finally, methodological harmonization was undertaken to update forms used for statistical reporting by institutions carrying out research and development. At present, the objects of statistical observation are legal entities– and their subdivisions with separate balance sheets- that undertake research and development activities during the year under review. Basic concepts and definitions as well as the institutional classification (i.e. by sector, subject and type of scientific activities) are now based on guidance from the OECD Frascati Manual. The manual was also utilised to harmonize measures of internal research and development expenditures and financing. </w:t>
      </w:r>
    </w:p>
    <w:p w:rsidR="00043091" w:rsidRDefault="00043091" w:rsidP="00043091">
      <w:pPr>
        <w:spacing w:after="0" w:line="240" w:lineRule="auto"/>
        <w:jc w:val="both"/>
        <w:rPr>
          <w:rFonts w:ascii="Times New Roman" w:hAnsi="Times New Roman" w:cs="Times New Roman"/>
          <w:sz w:val="24"/>
          <w:szCs w:val="24"/>
        </w:rPr>
      </w:pPr>
    </w:p>
    <w:p w:rsidR="00043091" w:rsidRPr="00043091" w:rsidRDefault="00043091" w:rsidP="00043091">
      <w:pPr>
        <w:spacing w:after="0" w:line="240" w:lineRule="auto"/>
        <w:jc w:val="both"/>
        <w:rPr>
          <w:rFonts w:ascii="Times New Roman" w:hAnsi="Times New Roman" w:cs="Times New Roman"/>
          <w:sz w:val="24"/>
          <w:szCs w:val="24"/>
        </w:rPr>
      </w:pPr>
      <w:r w:rsidRPr="00043091">
        <w:rPr>
          <w:rFonts w:ascii="Times New Roman" w:hAnsi="Times New Roman" w:cs="Times New Roman"/>
          <w:sz w:val="24"/>
          <w:szCs w:val="24"/>
        </w:rPr>
        <w:t>Other reforms were also adopted in innovation related statistics. Regarding, the preparation of statistics of the national account</w:t>
      </w:r>
      <w:r w:rsidR="00641135">
        <w:rPr>
          <w:rFonts w:ascii="Times New Roman" w:hAnsi="Times New Roman" w:cs="Times New Roman"/>
          <w:sz w:val="24"/>
          <w:szCs w:val="24"/>
        </w:rPr>
        <w:t>s</w:t>
      </w:r>
      <w:r w:rsidRPr="00043091">
        <w:rPr>
          <w:rFonts w:ascii="Times New Roman" w:hAnsi="Times New Roman" w:cs="Times New Roman"/>
          <w:sz w:val="24"/>
          <w:szCs w:val="24"/>
        </w:rPr>
        <w:t>, the system of national accounts-SNA-2008 was adopted; for education related statistics</w:t>
      </w:r>
      <w:r w:rsidR="00641135">
        <w:rPr>
          <w:rFonts w:ascii="Times New Roman" w:hAnsi="Times New Roman" w:cs="Times New Roman"/>
          <w:sz w:val="24"/>
          <w:szCs w:val="24"/>
        </w:rPr>
        <w:t>,</w:t>
      </w:r>
      <w:r w:rsidRPr="00043091">
        <w:rPr>
          <w:rFonts w:ascii="Times New Roman" w:hAnsi="Times New Roman" w:cs="Times New Roman"/>
          <w:sz w:val="24"/>
          <w:szCs w:val="24"/>
        </w:rPr>
        <w:t xml:space="preserve"> the UNESCO International Standard Classification of Education of 2011 was implemented. With regards to labour, Belstat refers to the international classification of occupations contained in the OECD labour statistics of 2007. Reforms were also undertaken on the nomenclature of economic activities and products.  Since 1 January 2016, national classifications were harmonized with the latest relevant international versions: by activity (NACE 2008), and by product (CPA -2008). Finally, regarding trade, the commodity nomenclature of economic activities in Belarus was </w:t>
      </w:r>
      <w:r w:rsidRPr="00043091">
        <w:rPr>
          <w:rFonts w:ascii="Times New Roman" w:hAnsi="Times New Roman" w:cs="Times New Roman"/>
          <w:sz w:val="24"/>
          <w:szCs w:val="24"/>
        </w:rPr>
        <w:lastRenderedPageBreak/>
        <w:t>harmonized at the level of the six decimals standard of international trade classification and description of goods and coding of the WTO.</w:t>
      </w:r>
    </w:p>
    <w:p w:rsidR="00043091" w:rsidRDefault="00043091" w:rsidP="00043091">
      <w:pPr>
        <w:spacing w:after="0" w:line="240" w:lineRule="auto"/>
        <w:jc w:val="both"/>
        <w:rPr>
          <w:rFonts w:ascii="Times New Roman" w:hAnsi="Times New Roman" w:cs="Times New Roman"/>
          <w:sz w:val="24"/>
          <w:szCs w:val="24"/>
        </w:rPr>
      </w:pPr>
    </w:p>
    <w:p w:rsidR="00BC4DA5" w:rsidRDefault="000656C3" w:rsidP="0006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spite of all the positive efforts to upgrade methodologies and mechanisms for statistics collection, it should also be noted that  some important constraints remain in place that need to be removed in order to fully align the measurement of innovation performance with international standards as well as to improve the comparability of national statistics. For instance, with regards to the the preparation of the national innovation survey, although it is formally </w:t>
      </w:r>
      <w:r w:rsidR="007103CD">
        <w:rPr>
          <w:rFonts w:ascii="Times New Roman" w:hAnsi="Times New Roman" w:cs="Times New Roman"/>
          <w:sz w:val="24"/>
          <w:szCs w:val="24"/>
        </w:rPr>
        <w:t xml:space="preserve">in line </w:t>
      </w:r>
      <w:r w:rsidRPr="000656C3">
        <w:rPr>
          <w:rFonts w:ascii="Times New Roman" w:hAnsi="Times New Roman" w:cs="Times New Roman"/>
          <w:sz w:val="24"/>
          <w:szCs w:val="24"/>
        </w:rPr>
        <w:t>with the Oslo Manual and Eurostat</w:t>
      </w:r>
      <w:r>
        <w:rPr>
          <w:rFonts w:ascii="Times New Roman" w:hAnsi="Times New Roman" w:cs="Times New Roman"/>
          <w:sz w:val="24"/>
          <w:szCs w:val="24"/>
        </w:rPr>
        <w:t>'s community Innovation Surveys, there are some substantial differences. With regards to its</w:t>
      </w:r>
      <w:r w:rsidRPr="000656C3">
        <w:rPr>
          <w:rFonts w:ascii="Times New Roman" w:hAnsi="Times New Roman" w:cs="Times New Roman"/>
          <w:sz w:val="24"/>
          <w:szCs w:val="24"/>
        </w:rPr>
        <w:t xml:space="preserve"> coverage </w:t>
      </w:r>
      <w:r>
        <w:rPr>
          <w:rFonts w:ascii="Times New Roman" w:hAnsi="Times New Roman" w:cs="Times New Roman"/>
          <w:sz w:val="24"/>
          <w:szCs w:val="24"/>
        </w:rPr>
        <w:t xml:space="preserve">the Innovation </w:t>
      </w:r>
      <w:r w:rsidRPr="000656C3">
        <w:rPr>
          <w:rFonts w:ascii="Times New Roman" w:hAnsi="Times New Roman" w:cs="Times New Roman"/>
          <w:sz w:val="24"/>
          <w:szCs w:val="24"/>
        </w:rPr>
        <w:t>survey</w:t>
      </w:r>
      <w:r>
        <w:rPr>
          <w:rFonts w:ascii="Times New Roman" w:hAnsi="Times New Roman" w:cs="Times New Roman"/>
          <w:sz w:val="24"/>
          <w:szCs w:val="24"/>
        </w:rPr>
        <w:t xml:space="preserve"> used by Besltat is</w:t>
      </w:r>
      <w:r w:rsidRPr="000656C3">
        <w:rPr>
          <w:rFonts w:ascii="Times New Roman" w:hAnsi="Times New Roman" w:cs="Times New Roman"/>
          <w:sz w:val="24"/>
          <w:szCs w:val="24"/>
        </w:rPr>
        <w:t xml:space="preserve"> limited</w:t>
      </w:r>
      <w:r>
        <w:rPr>
          <w:rFonts w:ascii="Times New Roman" w:hAnsi="Times New Roman" w:cs="Times New Roman"/>
          <w:sz w:val="24"/>
          <w:szCs w:val="24"/>
        </w:rPr>
        <w:t>. It is</w:t>
      </w:r>
      <w:r w:rsidRPr="000656C3">
        <w:rPr>
          <w:rFonts w:ascii="Times New Roman" w:hAnsi="Times New Roman" w:cs="Times New Roman"/>
          <w:sz w:val="24"/>
          <w:szCs w:val="24"/>
        </w:rPr>
        <w:t xml:space="preserve"> focuse</w:t>
      </w:r>
      <w:r>
        <w:rPr>
          <w:rFonts w:ascii="Times New Roman" w:hAnsi="Times New Roman" w:cs="Times New Roman"/>
          <w:sz w:val="24"/>
          <w:szCs w:val="24"/>
        </w:rPr>
        <w:t>d</w:t>
      </w:r>
      <w:r w:rsidRPr="000656C3">
        <w:rPr>
          <w:rFonts w:ascii="Times New Roman" w:hAnsi="Times New Roman" w:cs="Times New Roman"/>
          <w:sz w:val="24"/>
          <w:szCs w:val="24"/>
        </w:rPr>
        <w:t xml:space="preserve"> only on the firms' R&amp;D expenditure and innovation output (</w:t>
      </w:r>
      <w:r w:rsidR="007103CD">
        <w:rPr>
          <w:rFonts w:ascii="Times New Roman" w:hAnsi="Times New Roman" w:cs="Times New Roman"/>
          <w:sz w:val="24"/>
          <w:szCs w:val="24"/>
        </w:rPr>
        <w:t>i.e.</w:t>
      </w:r>
    </w:p>
    <w:p w:rsidR="000656C3" w:rsidRDefault="007103CD" w:rsidP="0006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56C3" w:rsidRPr="000656C3">
        <w:rPr>
          <w:rFonts w:ascii="Times New Roman" w:hAnsi="Times New Roman" w:cs="Times New Roman"/>
          <w:sz w:val="24"/>
          <w:szCs w:val="24"/>
        </w:rPr>
        <w:t>sales of innovative products)</w:t>
      </w:r>
      <w:r w:rsidR="000656C3">
        <w:rPr>
          <w:rFonts w:ascii="Times New Roman" w:hAnsi="Times New Roman" w:cs="Times New Roman"/>
          <w:sz w:val="24"/>
          <w:szCs w:val="24"/>
        </w:rPr>
        <w:t xml:space="preserve">, but it </w:t>
      </w:r>
      <w:r w:rsidR="000656C3" w:rsidRPr="000656C3">
        <w:rPr>
          <w:rFonts w:ascii="Times New Roman" w:hAnsi="Times New Roman" w:cs="Times New Roman"/>
          <w:sz w:val="24"/>
          <w:szCs w:val="24"/>
        </w:rPr>
        <w:t xml:space="preserve">does not cover some of the most critical aspects of </w:t>
      </w:r>
      <w:r w:rsidR="000656C3">
        <w:rPr>
          <w:rFonts w:ascii="Times New Roman" w:hAnsi="Times New Roman" w:cs="Times New Roman"/>
          <w:sz w:val="24"/>
          <w:szCs w:val="24"/>
        </w:rPr>
        <w:t>modern</w:t>
      </w:r>
      <w:r w:rsidR="000656C3" w:rsidRPr="000656C3">
        <w:rPr>
          <w:rFonts w:ascii="Times New Roman" w:hAnsi="Times New Roman" w:cs="Times New Roman"/>
          <w:sz w:val="24"/>
          <w:szCs w:val="24"/>
        </w:rPr>
        <w:t xml:space="preserve"> firms' innovation activity as </w:t>
      </w:r>
      <w:r w:rsidR="000656C3">
        <w:rPr>
          <w:rFonts w:ascii="Times New Roman" w:hAnsi="Times New Roman" w:cs="Times New Roman"/>
          <w:sz w:val="24"/>
          <w:szCs w:val="24"/>
        </w:rPr>
        <w:t>it is the case according to</w:t>
      </w:r>
      <w:r w:rsidR="000656C3" w:rsidRPr="000656C3">
        <w:rPr>
          <w:rFonts w:ascii="Times New Roman" w:hAnsi="Times New Roman" w:cs="Times New Roman"/>
          <w:sz w:val="24"/>
          <w:szCs w:val="24"/>
        </w:rPr>
        <w:t xml:space="preserve"> international best practice. </w:t>
      </w:r>
    </w:p>
    <w:p w:rsidR="000656C3" w:rsidRDefault="000656C3" w:rsidP="000656C3">
      <w:pPr>
        <w:spacing w:after="0" w:line="240" w:lineRule="auto"/>
        <w:jc w:val="both"/>
        <w:rPr>
          <w:rFonts w:ascii="Times New Roman" w:hAnsi="Times New Roman" w:cs="Times New Roman"/>
          <w:sz w:val="24"/>
          <w:szCs w:val="24"/>
        </w:rPr>
      </w:pPr>
    </w:p>
    <w:p w:rsidR="000656C3" w:rsidRDefault="000656C3" w:rsidP="000656C3">
      <w:pPr>
        <w:spacing w:after="0" w:line="240" w:lineRule="auto"/>
        <w:jc w:val="both"/>
        <w:rPr>
          <w:rFonts w:ascii="Times New Roman" w:hAnsi="Times New Roman" w:cs="Times New Roman"/>
          <w:sz w:val="24"/>
          <w:szCs w:val="24"/>
        </w:rPr>
      </w:pPr>
      <w:r w:rsidRPr="000656C3">
        <w:rPr>
          <w:rFonts w:ascii="Times New Roman" w:hAnsi="Times New Roman" w:cs="Times New Roman"/>
          <w:sz w:val="24"/>
          <w:szCs w:val="24"/>
        </w:rPr>
        <w:t xml:space="preserve">This </w:t>
      </w:r>
      <w:r>
        <w:rPr>
          <w:rFonts w:ascii="Times New Roman" w:hAnsi="Times New Roman" w:cs="Times New Roman"/>
          <w:sz w:val="24"/>
          <w:szCs w:val="24"/>
        </w:rPr>
        <w:t xml:space="preserve">problem </w:t>
      </w:r>
      <w:r w:rsidRPr="000656C3">
        <w:rPr>
          <w:rFonts w:ascii="Times New Roman" w:hAnsi="Times New Roman" w:cs="Times New Roman"/>
          <w:sz w:val="24"/>
          <w:szCs w:val="24"/>
        </w:rPr>
        <w:t xml:space="preserve">can be </w:t>
      </w:r>
      <w:r>
        <w:rPr>
          <w:rFonts w:ascii="Times New Roman" w:hAnsi="Times New Roman" w:cs="Times New Roman"/>
          <w:sz w:val="24"/>
          <w:szCs w:val="24"/>
        </w:rPr>
        <w:t>best perceived</w:t>
      </w:r>
      <w:r w:rsidRPr="000656C3">
        <w:rPr>
          <w:rFonts w:ascii="Times New Roman" w:hAnsi="Times New Roman" w:cs="Times New Roman"/>
          <w:sz w:val="24"/>
          <w:szCs w:val="24"/>
        </w:rPr>
        <w:t xml:space="preserve"> when co</w:t>
      </w:r>
      <w:r>
        <w:rPr>
          <w:rFonts w:ascii="Times New Roman" w:hAnsi="Times New Roman" w:cs="Times New Roman"/>
          <w:sz w:val="24"/>
          <w:szCs w:val="24"/>
        </w:rPr>
        <w:t xml:space="preserve">ntrasting </w:t>
      </w:r>
      <w:r w:rsidRPr="000656C3">
        <w:rPr>
          <w:rFonts w:ascii="Times New Roman" w:hAnsi="Times New Roman" w:cs="Times New Roman"/>
          <w:sz w:val="24"/>
          <w:szCs w:val="24"/>
        </w:rPr>
        <w:t xml:space="preserve">the coverage of BelStat's questionnaire with the CIS Harmonised survey questionnaire. </w:t>
      </w:r>
      <w:r>
        <w:rPr>
          <w:rFonts w:ascii="Times New Roman" w:hAnsi="Times New Roman" w:cs="Times New Roman"/>
          <w:sz w:val="24"/>
          <w:szCs w:val="24"/>
        </w:rPr>
        <w:t>Some key subject areas of the innovation process are missing from the questionnaire used in Belarus, including the following aspects:</w:t>
      </w:r>
      <w:r w:rsidRPr="000656C3">
        <w:rPr>
          <w:rFonts w:ascii="Times New Roman" w:hAnsi="Times New Roman" w:cs="Times New Roman"/>
          <w:sz w:val="24"/>
          <w:szCs w:val="24"/>
        </w:rPr>
        <w:t xml:space="preserve"> </w:t>
      </w:r>
    </w:p>
    <w:p w:rsidR="000656C3" w:rsidRPr="000656C3" w:rsidRDefault="00B30916" w:rsidP="00CD5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0656C3" w:rsidRPr="00B30916">
        <w:rPr>
          <w:rFonts w:ascii="Times New Roman" w:hAnsi="Times New Roman" w:cs="Times New Roman"/>
          <w:sz w:val="24"/>
          <w:szCs w:val="24"/>
        </w:rPr>
        <w:t>innovations</w:t>
      </w:r>
      <w:r>
        <w:rPr>
          <w:rFonts w:ascii="Times New Roman" w:hAnsi="Times New Roman" w:cs="Times New Roman"/>
          <w:sz w:val="24"/>
          <w:szCs w:val="24"/>
        </w:rPr>
        <w:t xml:space="preserve"> are</w:t>
      </w:r>
      <w:r w:rsidR="000656C3" w:rsidRPr="00B30916">
        <w:rPr>
          <w:rFonts w:ascii="Times New Roman" w:hAnsi="Times New Roman" w:cs="Times New Roman"/>
          <w:sz w:val="24"/>
          <w:szCs w:val="24"/>
        </w:rPr>
        <w:t xml:space="preserve"> developed internally or in cooperation</w:t>
      </w:r>
      <w:r>
        <w:rPr>
          <w:rFonts w:ascii="Times New Roman" w:hAnsi="Times New Roman" w:cs="Times New Roman"/>
          <w:sz w:val="24"/>
          <w:szCs w:val="24"/>
        </w:rPr>
        <w:t xml:space="preserve"> with other institutions; whether </w:t>
      </w:r>
      <w:r w:rsidR="000656C3" w:rsidRPr="000656C3">
        <w:rPr>
          <w:rFonts w:ascii="Times New Roman" w:hAnsi="Times New Roman" w:cs="Times New Roman"/>
          <w:sz w:val="24"/>
          <w:szCs w:val="24"/>
        </w:rPr>
        <w:t>the innovation</w:t>
      </w:r>
      <w:r>
        <w:rPr>
          <w:rFonts w:ascii="Times New Roman" w:hAnsi="Times New Roman" w:cs="Times New Roman"/>
          <w:sz w:val="24"/>
          <w:szCs w:val="24"/>
        </w:rPr>
        <w:t>s are</w:t>
      </w:r>
      <w:r w:rsidR="000656C3" w:rsidRPr="000656C3">
        <w:rPr>
          <w:rFonts w:ascii="Times New Roman" w:hAnsi="Times New Roman" w:cs="Times New Roman"/>
          <w:sz w:val="24"/>
          <w:szCs w:val="24"/>
        </w:rPr>
        <w:t xml:space="preserve"> new</w:t>
      </w:r>
      <w:r>
        <w:rPr>
          <w:rFonts w:ascii="Times New Roman" w:hAnsi="Times New Roman" w:cs="Times New Roman"/>
          <w:sz w:val="24"/>
          <w:szCs w:val="24"/>
        </w:rPr>
        <w:t>-</w:t>
      </w:r>
      <w:r w:rsidR="000656C3" w:rsidRPr="000656C3">
        <w:rPr>
          <w:rFonts w:ascii="Times New Roman" w:hAnsi="Times New Roman" w:cs="Times New Roman"/>
          <w:sz w:val="24"/>
          <w:szCs w:val="24"/>
        </w:rPr>
        <w:t xml:space="preserve"> to</w:t>
      </w:r>
      <w:r>
        <w:rPr>
          <w:rFonts w:ascii="Times New Roman" w:hAnsi="Times New Roman" w:cs="Times New Roman"/>
          <w:sz w:val="24"/>
          <w:szCs w:val="24"/>
        </w:rPr>
        <w:t>-</w:t>
      </w:r>
      <w:r w:rsidR="000656C3" w:rsidRPr="000656C3">
        <w:rPr>
          <w:rFonts w:ascii="Times New Roman" w:hAnsi="Times New Roman" w:cs="Times New Roman"/>
          <w:sz w:val="24"/>
          <w:szCs w:val="24"/>
        </w:rPr>
        <w:t>the</w:t>
      </w:r>
      <w:r>
        <w:rPr>
          <w:rFonts w:ascii="Times New Roman" w:hAnsi="Times New Roman" w:cs="Times New Roman"/>
          <w:sz w:val="24"/>
          <w:szCs w:val="24"/>
        </w:rPr>
        <w:t>-</w:t>
      </w:r>
      <w:r w:rsidR="000656C3" w:rsidRPr="000656C3">
        <w:rPr>
          <w:rFonts w:ascii="Times New Roman" w:hAnsi="Times New Roman" w:cs="Times New Roman"/>
          <w:sz w:val="24"/>
          <w:szCs w:val="24"/>
        </w:rPr>
        <w:t>market (</w:t>
      </w:r>
      <w:r>
        <w:rPr>
          <w:rFonts w:ascii="Times New Roman" w:hAnsi="Times New Roman" w:cs="Times New Roman"/>
          <w:sz w:val="24"/>
          <w:szCs w:val="24"/>
        </w:rPr>
        <w:t xml:space="preserve">i.e. </w:t>
      </w:r>
      <w:r w:rsidR="000656C3" w:rsidRPr="000656C3">
        <w:rPr>
          <w:rFonts w:ascii="Times New Roman" w:hAnsi="Times New Roman" w:cs="Times New Roman"/>
          <w:sz w:val="24"/>
          <w:szCs w:val="24"/>
        </w:rPr>
        <w:t>frontier innovation) or new</w:t>
      </w:r>
      <w:r>
        <w:rPr>
          <w:rFonts w:ascii="Times New Roman" w:hAnsi="Times New Roman" w:cs="Times New Roman"/>
          <w:sz w:val="24"/>
          <w:szCs w:val="24"/>
        </w:rPr>
        <w:t>-</w:t>
      </w:r>
      <w:r w:rsidR="000656C3" w:rsidRPr="000656C3">
        <w:rPr>
          <w:rFonts w:ascii="Times New Roman" w:hAnsi="Times New Roman" w:cs="Times New Roman"/>
          <w:sz w:val="24"/>
          <w:szCs w:val="24"/>
        </w:rPr>
        <w:t>to</w:t>
      </w:r>
      <w:r>
        <w:rPr>
          <w:rFonts w:ascii="Times New Roman" w:hAnsi="Times New Roman" w:cs="Times New Roman"/>
          <w:sz w:val="24"/>
          <w:szCs w:val="24"/>
        </w:rPr>
        <w:t>-</w:t>
      </w:r>
      <w:r w:rsidR="000656C3" w:rsidRPr="000656C3">
        <w:rPr>
          <w:rFonts w:ascii="Times New Roman" w:hAnsi="Times New Roman" w:cs="Times New Roman"/>
          <w:sz w:val="24"/>
          <w:szCs w:val="24"/>
        </w:rPr>
        <w:t>the</w:t>
      </w:r>
      <w:r>
        <w:rPr>
          <w:rFonts w:ascii="Times New Roman" w:hAnsi="Times New Roman" w:cs="Times New Roman"/>
          <w:sz w:val="24"/>
          <w:szCs w:val="24"/>
        </w:rPr>
        <w:t>-</w:t>
      </w:r>
      <w:r w:rsidR="000656C3" w:rsidRPr="000656C3">
        <w:rPr>
          <w:rFonts w:ascii="Times New Roman" w:hAnsi="Times New Roman" w:cs="Times New Roman"/>
          <w:sz w:val="24"/>
          <w:szCs w:val="24"/>
        </w:rPr>
        <w:t>firm only (</w:t>
      </w:r>
      <w:r>
        <w:rPr>
          <w:rFonts w:ascii="Times New Roman" w:hAnsi="Times New Roman" w:cs="Times New Roman"/>
          <w:sz w:val="24"/>
          <w:szCs w:val="24"/>
        </w:rPr>
        <w:t xml:space="preserve">i.e. </w:t>
      </w:r>
      <w:r w:rsidR="000656C3" w:rsidRPr="000656C3">
        <w:rPr>
          <w:rFonts w:ascii="Times New Roman" w:hAnsi="Times New Roman" w:cs="Times New Roman"/>
          <w:sz w:val="24"/>
          <w:szCs w:val="24"/>
        </w:rPr>
        <w:t>imitation)</w:t>
      </w:r>
      <w:r>
        <w:rPr>
          <w:rFonts w:ascii="Times New Roman" w:hAnsi="Times New Roman" w:cs="Times New Roman"/>
          <w:sz w:val="24"/>
          <w:szCs w:val="24"/>
        </w:rPr>
        <w:t xml:space="preserve">; the scope of novelties (e.g. </w:t>
      </w:r>
      <w:r w:rsidR="000656C3" w:rsidRPr="000656C3">
        <w:rPr>
          <w:rFonts w:ascii="Times New Roman" w:hAnsi="Times New Roman" w:cs="Times New Roman"/>
          <w:sz w:val="24"/>
          <w:szCs w:val="24"/>
        </w:rPr>
        <w:t>local market</w:t>
      </w:r>
      <w:r w:rsidR="00CD5F21">
        <w:rPr>
          <w:rFonts w:ascii="Times New Roman" w:hAnsi="Times New Roman" w:cs="Times New Roman"/>
          <w:sz w:val="24"/>
          <w:szCs w:val="24"/>
        </w:rPr>
        <w:t>, regional</w:t>
      </w:r>
      <w:r w:rsidR="000656C3" w:rsidRPr="000656C3">
        <w:rPr>
          <w:rFonts w:ascii="Times New Roman" w:hAnsi="Times New Roman" w:cs="Times New Roman"/>
          <w:sz w:val="24"/>
          <w:szCs w:val="24"/>
        </w:rPr>
        <w:t xml:space="preserve"> market</w:t>
      </w:r>
      <w:r w:rsidR="00CD5F21">
        <w:rPr>
          <w:rFonts w:ascii="Times New Roman" w:hAnsi="Times New Roman" w:cs="Times New Roman"/>
          <w:sz w:val="24"/>
          <w:szCs w:val="24"/>
        </w:rPr>
        <w:t>,</w:t>
      </w:r>
      <w:r w:rsidR="000656C3" w:rsidRPr="000656C3">
        <w:rPr>
          <w:rFonts w:ascii="Times New Roman" w:hAnsi="Times New Roman" w:cs="Times New Roman"/>
          <w:sz w:val="24"/>
          <w:szCs w:val="24"/>
        </w:rPr>
        <w:t xml:space="preserve"> world</w:t>
      </w:r>
      <w:r w:rsidR="00CD5F21">
        <w:rPr>
          <w:rFonts w:ascii="Times New Roman" w:hAnsi="Times New Roman" w:cs="Times New Roman"/>
          <w:sz w:val="24"/>
          <w:szCs w:val="24"/>
        </w:rPr>
        <w:t xml:space="preserve"> market); the type of firm’s innovation activities (e.g.</w:t>
      </w:r>
      <w:r w:rsidR="00CD5F21" w:rsidRPr="000656C3">
        <w:rPr>
          <w:rFonts w:ascii="Times New Roman" w:hAnsi="Times New Roman" w:cs="Times New Roman"/>
          <w:sz w:val="24"/>
          <w:szCs w:val="24"/>
        </w:rPr>
        <w:t xml:space="preserve"> </w:t>
      </w:r>
      <w:r w:rsidR="000656C3" w:rsidRPr="000656C3">
        <w:rPr>
          <w:rFonts w:ascii="Times New Roman" w:hAnsi="Times New Roman" w:cs="Times New Roman"/>
          <w:sz w:val="24"/>
          <w:szCs w:val="24"/>
        </w:rPr>
        <w:t>in-house R&amp;D, external R&amp;D, acquisition of technology or knowledge, training)</w:t>
      </w:r>
      <w:r w:rsidR="00CD5F21">
        <w:rPr>
          <w:rFonts w:ascii="Times New Roman" w:hAnsi="Times New Roman" w:cs="Times New Roman"/>
          <w:sz w:val="24"/>
          <w:szCs w:val="24"/>
        </w:rPr>
        <w:t xml:space="preserve">; type of benefits from public support to innovation; </w:t>
      </w:r>
      <w:r w:rsidR="000656C3" w:rsidRPr="000656C3">
        <w:rPr>
          <w:rFonts w:ascii="Times New Roman" w:hAnsi="Times New Roman" w:cs="Times New Roman"/>
          <w:sz w:val="24"/>
          <w:szCs w:val="24"/>
        </w:rPr>
        <w:t>sources of information and co-operation for product and process innovation</w:t>
      </w:r>
      <w:r w:rsidR="00CD5F21">
        <w:rPr>
          <w:rFonts w:ascii="Times New Roman" w:hAnsi="Times New Roman" w:cs="Times New Roman"/>
          <w:sz w:val="24"/>
          <w:szCs w:val="24"/>
        </w:rPr>
        <w:t xml:space="preserve"> and </w:t>
      </w:r>
      <w:r w:rsidR="000656C3" w:rsidRPr="000656C3">
        <w:rPr>
          <w:rFonts w:ascii="Times New Roman" w:hAnsi="Times New Roman" w:cs="Times New Roman"/>
          <w:sz w:val="24"/>
          <w:szCs w:val="24"/>
        </w:rPr>
        <w:t xml:space="preserve"> collaboration with other innovation stakeholders</w:t>
      </w:r>
      <w:r w:rsidR="00CD5F21">
        <w:rPr>
          <w:rFonts w:ascii="Times New Roman" w:hAnsi="Times New Roman" w:cs="Times New Roman"/>
          <w:sz w:val="24"/>
          <w:szCs w:val="24"/>
        </w:rPr>
        <w:t>; and the protection of intellectual property by firms.</w:t>
      </w:r>
    </w:p>
    <w:p w:rsidR="00CD5F21" w:rsidRDefault="00CD5F21" w:rsidP="000656C3">
      <w:pPr>
        <w:spacing w:after="0" w:line="240" w:lineRule="auto"/>
        <w:jc w:val="both"/>
        <w:rPr>
          <w:rFonts w:ascii="Times New Roman" w:hAnsi="Times New Roman" w:cs="Times New Roman"/>
          <w:sz w:val="24"/>
          <w:szCs w:val="24"/>
        </w:rPr>
      </w:pPr>
    </w:p>
    <w:p w:rsidR="000656C3" w:rsidRDefault="00CD5F21" w:rsidP="00065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Another challenge concerns the population of</w:t>
      </w:r>
      <w:r w:rsidRPr="00CD5F21">
        <w:rPr>
          <w:rFonts w:ascii="Times New Roman" w:hAnsi="Times New Roman" w:cs="Times New Roman"/>
          <w:sz w:val="24"/>
          <w:szCs w:val="24"/>
        </w:rPr>
        <w:t xml:space="preserve"> the</w:t>
      </w:r>
      <w:r>
        <w:rPr>
          <w:rFonts w:ascii="Times New Roman" w:hAnsi="Times New Roman" w:cs="Times New Roman"/>
          <w:sz w:val="24"/>
          <w:szCs w:val="24"/>
        </w:rPr>
        <w:t xml:space="preserve"> national innovation survey in Belarus. As it was mentioned, the questionnaires are distributed only among firms in the </w:t>
      </w:r>
      <w:r w:rsidRPr="00CD5F21">
        <w:rPr>
          <w:rFonts w:ascii="Times New Roman" w:hAnsi="Times New Roman" w:cs="Times New Roman"/>
          <w:sz w:val="24"/>
          <w:szCs w:val="24"/>
        </w:rPr>
        <w:t>manufacturing and high-tech services. By contrast, Eurostat's practice is to cover a representative sample of firms from all sectors. In the most recent surveys, public sector organisation</w:t>
      </w:r>
      <w:r>
        <w:rPr>
          <w:rFonts w:ascii="Times New Roman" w:hAnsi="Times New Roman" w:cs="Times New Roman"/>
          <w:sz w:val="24"/>
          <w:szCs w:val="24"/>
        </w:rPr>
        <w:t xml:space="preserve"> have also been covered as part of </w:t>
      </w:r>
      <w:r w:rsidRPr="00CD5F21">
        <w:rPr>
          <w:rFonts w:ascii="Times New Roman" w:hAnsi="Times New Roman" w:cs="Times New Roman"/>
          <w:sz w:val="24"/>
          <w:szCs w:val="24"/>
        </w:rPr>
        <w:t>a section devoted to public sector innovation.</w:t>
      </w:r>
    </w:p>
    <w:p w:rsidR="00CD5F21" w:rsidRDefault="00CD5F21" w:rsidP="000656C3">
      <w:pPr>
        <w:spacing w:after="0" w:line="240" w:lineRule="auto"/>
        <w:jc w:val="both"/>
        <w:rPr>
          <w:rFonts w:ascii="Times New Roman" w:hAnsi="Times New Roman" w:cs="Times New Roman"/>
          <w:sz w:val="24"/>
          <w:szCs w:val="24"/>
        </w:rPr>
      </w:pPr>
    </w:p>
    <w:p w:rsidR="00750EEC" w:rsidRDefault="00EE1E15" w:rsidP="00CD5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other aspects of measuring innovation performance, the Government has </w:t>
      </w:r>
      <w:r w:rsidR="00CD5F21" w:rsidRPr="00CD5F21">
        <w:rPr>
          <w:rFonts w:ascii="Times New Roman" w:hAnsi="Times New Roman" w:cs="Times New Roman"/>
          <w:sz w:val="24"/>
          <w:szCs w:val="24"/>
        </w:rPr>
        <w:t>not yet adopted the system of monitoring of Government budget appropriations for R&amp;D (i.e. GBOARD</w:t>
      </w:r>
      <w:r>
        <w:rPr>
          <w:rFonts w:ascii="Times New Roman" w:hAnsi="Times New Roman" w:cs="Times New Roman"/>
          <w:sz w:val="24"/>
          <w:szCs w:val="24"/>
        </w:rPr>
        <w:t>,</w:t>
      </w:r>
      <w:r w:rsidR="00CD5F21" w:rsidRPr="00CD5F21">
        <w:rPr>
          <w:rFonts w:ascii="Times New Roman" w:hAnsi="Times New Roman" w:cs="Times New Roman"/>
          <w:sz w:val="24"/>
          <w:szCs w:val="24"/>
        </w:rPr>
        <w:t xml:space="preserve"> which monitors budget spending on S&amp;T based on socio-economic objectives)</w:t>
      </w:r>
      <w:r>
        <w:rPr>
          <w:rFonts w:ascii="Times New Roman" w:hAnsi="Times New Roman" w:cs="Times New Roman"/>
          <w:sz w:val="24"/>
          <w:szCs w:val="24"/>
        </w:rPr>
        <w:t xml:space="preserve">, neither has it </w:t>
      </w:r>
      <w:r w:rsidR="00CD5F21" w:rsidRPr="00CD5F21">
        <w:rPr>
          <w:rFonts w:ascii="Times New Roman" w:hAnsi="Times New Roman" w:cs="Times New Roman"/>
          <w:sz w:val="24"/>
          <w:szCs w:val="24"/>
        </w:rPr>
        <w:t>harmoniz</w:t>
      </w:r>
      <w:r>
        <w:rPr>
          <w:rFonts w:ascii="Times New Roman" w:hAnsi="Times New Roman" w:cs="Times New Roman"/>
          <w:sz w:val="24"/>
          <w:szCs w:val="24"/>
        </w:rPr>
        <w:t>ed the available</w:t>
      </w:r>
      <w:r w:rsidR="00CD5F21" w:rsidRPr="00CD5F21">
        <w:rPr>
          <w:rFonts w:ascii="Times New Roman" w:hAnsi="Times New Roman" w:cs="Times New Roman"/>
          <w:sz w:val="24"/>
          <w:szCs w:val="24"/>
        </w:rPr>
        <w:t xml:space="preserve"> Science and Technology Statistics with</w:t>
      </w:r>
      <w:r>
        <w:rPr>
          <w:rFonts w:ascii="Times New Roman" w:hAnsi="Times New Roman" w:cs="Times New Roman"/>
          <w:sz w:val="24"/>
          <w:szCs w:val="24"/>
        </w:rPr>
        <w:t xml:space="preserve"> modern</w:t>
      </w:r>
      <w:r w:rsidR="00CD5F21" w:rsidRPr="00CD5F21">
        <w:rPr>
          <w:rFonts w:ascii="Times New Roman" w:hAnsi="Times New Roman" w:cs="Times New Roman"/>
          <w:sz w:val="24"/>
          <w:szCs w:val="24"/>
        </w:rPr>
        <w:t xml:space="preserve"> guidelines in</w:t>
      </w:r>
      <w:r>
        <w:rPr>
          <w:rFonts w:ascii="Times New Roman" w:hAnsi="Times New Roman" w:cs="Times New Roman"/>
          <w:sz w:val="24"/>
          <w:szCs w:val="24"/>
        </w:rPr>
        <w:t xml:space="preserve"> this field (e.g.</w:t>
      </w:r>
      <w:r w:rsidR="00CD5F21" w:rsidRPr="00CD5F21">
        <w:rPr>
          <w:rFonts w:ascii="Times New Roman" w:hAnsi="Times New Roman" w:cs="Times New Roman"/>
          <w:sz w:val="24"/>
          <w:szCs w:val="24"/>
        </w:rPr>
        <w:t xml:space="preserve"> the OECD (1995) Canberra Manual on the Measurement of Human Resources devoted to Science and Technology (S&amp;T)</w:t>
      </w:r>
      <w:r w:rsidR="00803FFF">
        <w:rPr>
          <w:rFonts w:ascii="Times New Roman" w:hAnsi="Times New Roman" w:cs="Times New Roman"/>
          <w:sz w:val="24"/>
          <w:szCs w:val="24"/>
        </w:rPr>
        <w:t>, and the Frascati Manual)</w:t>
      </w:r>
      <w:r w:rsidR="00CD5F21" w:rsidRPr="00CD5F21">
        <w:rPr>
          <w:rFonts w:ascii="Times New Roman" w:hAnsi="Times New Roman" w:cs="Times New Roman"/>
          <w:sz w:val="24"/>
          <w:szCs w:val="24"/>
        </w:rPr>
        <w:t xml:space="preserve">. </w:t>
      </w:r>
      <w:r w:rsidR="00750EEC">
        <w:rPr>
          <w:rFonts w:ascii="Times New Roman" w:hAnsi="Times New Roman" w:cs="Times New Roman"/>
          <w:sz w:val="24"/>
          <w:szCs w:val="24"/>
        </w:rPr>
        <w:t xml:space="preserve"> </w:t>
      </w:r>
    </w:p>
    <w:p w:rsidR="00750EEC" w:rsidRDefault="00750EEC" w:rsidP="00CD5F21">
      <w:pPr>
        <w:spacing w:after="0" w:line="240" w:lineRule="auto"/>
        <w:jc w:val="both"/>
        <w:rPr>
          <w:rFonts w:ascii="Times New Roman" w:hAnsi="Times New Roman" w:cs="Times New Roman"/>
          <w:sz w:val="24"/>
          <w:szCs w:val="24"/>
        </w:rPr>
      </w:pPr>
    </w:p>
    <w:p w:rsidR="00CD5F21" w:rsidRDefault="00750EEC" w:rsidP="00CD5F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2010, there has also been progress in the collection of world statistics which may also have an impact on the measurement of innovation. For example, the rise of regional and global value chains has contributed to the emergence of an </w:t>
      </w:r>
      <w:r w:rsidR="00CD5F21" w:rsidRPr="00CD5F21">
        <w:rPr>
          <w:rFonts w:ascii="Times New Roman" w:hAnsi="Times New Roman" w:cs="Times New Roman"/>
          <w:sz w:val="24"/>
          <w:szCs w:val="24"/>
        </w:rPr>
        <w:t xml:space="preserve">international project on world input-output tables and trade in value added </w:t>
      </w:r>
      <w:r>
        <w:rPr>
          <w:rFonts w:ascii="Times New Roman" w:hAnsi="Times New Roman" w:cs="Times New Roman"/>
          <w:sz w:val="24"/>
          <w:szCs w:val="24"/>
        </w:rPr>
        <w:t xml:space="preserve">by </w:t>
      </w:r>
      <w:r w:rsidR="00CD5F21" w:rsidRPr="00CD5F21">
        <w:rPr>
          <w:rFonts w:ascii="Times New Roman" w:hAnsi="Times New Roman" w:cs="Times New Roman"/>
          <w:sz w:val="24"/>
          <w:szCs w:val="24"/>
        </w:rPr>
        <w:t>OECD/WTO</w:t>
      </w:r>
      <w:r>
        <w:rPr>
          <w:rFonts w:ascii="Times New Roman" w:hAnsi="Times New Roman" w:cs="Times New Roman"/>
          <w:sz w:val="24"/>
          <w:szCs w:val="24"/>
        </w:rPr>
        <w:t xml:space="preserve"> that can help inform government strategies on potential benefits and risks of participation in such types of international production. Other more traditional business statistics have also been improved,  including the </w:t>
      </w:r>
      <w:r w:rsidR="00CD5F21" w:rsidRPr="00CD5F21">
        <w:rPr>
          <w:rFonts w:ascii="Times New Roman" w:hAnsi="Times New Roman" w:cs="Times New Roman"/>
          <w:sz w:val="24"/>
          <w:szCs w:val="24"/>
        </w:rPr>
        <w:t xml:space="preserve">Structural Business Statistics (SBS); Trade by Enterprise Characteristics (TEC), Entrepreneurship Indicators (Business Demography, BD), and Foreign Affiliate Trade Statistics (FATS). </w:t>
      </w:r>
      <w:r>
        <w:rPr>
          <w:rFonts w:ascii="Times New Roman" w:hAnsi="Times New Roman" w:cs="Times New Roman"/>
          <w:sz w:val="24"/>
          <w:szCs w:val="24"/>
        </w:rPr>
        <w:t xml:space="preserve"> Each of these sources of statistical </w:t>
      </w:r>
      <w:r w:rsidR="00CD5F21" w:rsidRPr="00CD5F21">
        <w:rPr>
          <w:rFonts w:ascii="Times New Roman" w:hAnsi="Times New Roman" w:cs="Times New Roman"/>
          <w:sz w:val="24"/>
          <w:szCs w:val="24"/>
        </w:rPr>
        <w:t>indicators are required for</w:t>
      </w:r>
      <w:r w:rsidR="00EF501E">
        <w:rPr>
          <w:rFonts w:ascii="Times New Roman" w:hAnsi="Times New Roman" w:cs="Times New Roman"/>
          <w:sz w:val="24"/>
          <w:szCs w:val="24"/>
        </w:rPr>
        <w:t xml:space="preserve"> the</w:t>
      </w:r>
      <w:r w:rsidR="00CD5F21" w:rsidRPr="00CD5F21">
        <w:rPr>
          <w:rFonts w:ascii="Times New Roman" w:hAnsi="Times New Roman" w:cs="Times New Roman"/>
          <w:sz w:val="24"/>
          <w:szCs w:val="24"/>
        </w:rPr>
        <w:t xml:space="preserve"> better understanding of innovation aspects of trade </w:t>
      </w:r>
      <w:r>
        <w:rPr>
          <w:rFonts w:ascii="Times New Roman" w:hAnsi="Times New Roman" w:cs="Times New Roman"/>
          <w:sz w:val="24"/>
          <w:szCs w:val="24"/>
        </w:rPr>
        <w:t>as well as modern</w:t>
      </w:r>
      <w:r w:rsidR="00CD5F21" w:rsidRPr="00CD5F21">
        <w:rPr>
          <w:rFonts w:ascii="Times New Roman" w:hAnsi="Times New Roman" w:cs="Times New Roman"/>
          <w:sz w:val="24"/>
          <w:szCs w:val="24"/>
        </w:rPr>
        <w:t xml:space="preserve"> entrepreneurship. </w:t>
      </w:r>
    </w:p>
    <w:p w:rsidR="002852F5" w:rsidRDefault="002852F5" w:rsidP="00CD5F21">
      <w:pPr>
        <w:spacing w:after="0" w:line="240" w:lineRule="auto"/>
        <w:jc w:val="both"/>
        <w:rPr>
          <w:rFonts w:ascii="Times New Roman" w:hAnsi="Times New Roman" w:cs="Times New Roman"/>
          <w:sz w:val="24"/>
          <w:szCs w:val="24"/>
        </w:rPr>
      </w:pPr>
    </w:p>
    <w:p w:rsidR="0068566D" w:rsidRPr="00FC4864" w:rsidRDefault="00A322C8" w:rsidP="00FC4864">
      <w:pPr>
        <w:pStyle w:val="afb"/>
        <w:spacing w:before="0"/>
        <w:rPr>
          <w:rFonts w:asciiTheme="minorHAnsi" w:hAnsiTheme="minorHAnsi" w:cstheme="minorHAnsi"/>
          <w:color w:val="auto"/>
          <w:sz w:val="24"/>
          <w:szCs w:val="24"/>
        </w:rPr>
      </w:pPr>
      <w:bookmarkStart w:id="12" w:name="_Toc455497890"/>
      <w:bookmarkStart w:id="13" w:name="_Toc455499249"/>
      <w:r w:rsidRPr="00FC4864">
        <w:rPr>
          <w:rFonts w:asciiTheme="minorHAnsi" w:hAnsiTheme="minorHAnsi" w:cstheme="minorHAnsi"/>
          <w:color w:val="auto"/>
          <w:sz w:val="24"/>
          <w:szCs w:val="24"/>
        </w:rPr>
        <w:t>Chapter 4:</w:t>
      </w:r>
      <w:r w:rsidR="00C65103" w:rsidRPr="00FC4864">
        <w:rPr>
          <w:rFonts w:asciiTheme="minorHAnsi" w:hAnsiTheme="minorHAnsi" w:cstheme="minorHAnsi"/>
          <w:color w:val="auto"/>
          <w:sz w:val="24"/>
          <w:szCs w:val="24"/>
        </w:rPr>
        <w:t xml:space="preserve"> </w:t>
      </w:r>
      <w:bookmarkEnd w:id="12"/>
      <w:r w:rsidR="00037F51">
        <w:rPr>
          <w:rFonts w:asciiTheme="minorHAnsi" w:hAnsiTheme="minorHAnsi" w:cstheme="minorHAnsi"/>
          <w:color w:val="auto"/>
          <w:sz w:val="24"/>
          <w:szCs w:val="24"/>
        </w:rPr>
        <w:t>i</w:t>
      </w:r>
      <w:r w:rsidR="00FD2D8E" w:rsidRPr="00FC4864">
        <w:rPr>
          <w:rFonts w:asciiTheme="minorHAnsi" w:hAnsiTheme="minorHAnsi" w:cstheme="minorHAnsi"/>
          <w:color w:val="auto"/>
          <w:sz w:val="24"/>
          <w:szCs w:val="24"/>
        </w:rPr>
        <w:t>nnovation in the enterprise sector</w:t>
      </w:r>
      <w:bookmarkEnd w:id="13"/>
    </w:p>
    <w:p w:rsidR="00A119A0" w:rsidRDefault="00A119A0" w:rsidP="006E61F6">
      <w:pPr>
        <w:spacing w:after="0" w:line="240" w:lineRule="auto"/>
        <w:jc w:val="both"/>
        <w:rPr>
          <w:rFonts w:ascii="Times New Roman" w:hAnsi="Times New Roman" w:cs="Times New Roman"/>
          <w:sz w:val="24"/>
          <w:szCs w:val="24"/>
        </w:rPr>
      </w:pPr>
    </w:p>
    <w:p w:rsidR="00C37F37" w:rsidRPr="00C37F37" w:rsidRDefault="0085082E" w:rsidP="006E61F6">
      <w:pPr>
        <w:spacing w:after="0" w:line="240" w:lineRule="auto"/>
        <w:jc w:val="both"/>
        <w:rPr>
          <w:rFonts w:ascii="Times New Roman" w:hAnsi="Times New Roman" w:cs="Times New Roman"/>
          <w:sz w:val="24"/>
          <w:szCs w:val="24"/>
        </w:rPr>
      </w:pPr>
      <w:r w:rsidRPr="0085082E">
        <w:rPr>
          <w:rFonts w:ascii="Times New Roman" w:hAnsi="Times New Roman" w:cs="Times New Roman"/>
          <w:sz w:val="24"/>
          <w:szCs w:val="24"/>
        </w:rPr>
        <w:t xml:space="preserve">Since the beginning of the transition period, many </w:t>
      </w:r>
      <w:r>
        <w:rPr>
          <w:rFonts w:ascii="Times New Roman" w:hAnsi="Times New Roman" w:cs="Times New Roman"/>
          <w:sz w:val="24"/>
          <w:szCs w:val="24"/>
        </w:rPr>
        <w:t>enterprises</w:t>
      </w:r>
      <w:r w:rsidRPr="0085082E">
        <w:rPr>
          <w:rFonts w:ascii="Times New Roman" w:hAnsi="Times New Roman" w:cs="Times New Roman"/>
          <w:sz w:val="24"/>
          <w:szCs w:val="24"/>
        </w:rPr>
        <w:t xml:space="preserve"> were reorganized. </w:t>
      </w:r>
      <w:r>
        <w:rPr>
          <w:rFonts w:ascii="Times New Roman" w:hAnsi="Times New Roman" w:cs="Times New Roman"/>
          <w:sz w:val="24"/>
          <w:szCs w:val="24"/>
        </w:rPr>
        <w:t xml:space="preserve">Still, </w:t>
      </w:r>
      <w:r w:rsidR="00C37F37" w:rsidRPr="00C37F37">
        <w:rPr>
          <w:rFonts w:ascii="Times New Roman" w:hAnsi="Times New Roman" w:cs="Times New Roman"/>
          <w:sz w:val="24"/>
          <w:szCs w:val="24"/>
        </w:rPr>
        <w:t>fully or significantly</w:t>
      </w:r>
      <w:r>
        <w:rPr>
          <w:rFonts w:ascii="Times New Roman" w:hAnsi="Times New Roman" w:cs="Times New Roman"/>
          <w:sz w:val="24"/>
          <w:szCs w:val="24"/>
        </w:rPr>
        <w:t xml:space="preserve"> Government</w:t>
      </w:r>
      <w:r w:rsidR="00C37F37" w:rsidRPr="00C37F37">
        <w:rPr>
          <w:rFonts w:ascii="Times New Roman" w:hAnsi="Times New Roman" w:cs="Times New Roman"/>
          <w:sz w:val="24"/>
          <w:szCs w:val="24"/>
        </w:rPr>
        <w:t xml:space="preserve"> controlled </w:t>
      </w:r>
      <w:r>
        <w:rPr>
          <w:rFonts w:ascii="Times New Roman" w:hAnsi="Times New Roman" w:cs="Times New Roman"/>
          <w:sz w:val="24"/>
          <w:szCs w:val="24"/>
        </w:rPr>
        <w:t xml:space="preserve">firms </w:t>
      </w:r>
      <w:r w:rsidR="00C37F37" w:rsidRPr="00C37F37">
        <w:rPr>
          <w:rFonts w:ascii="Times New Roman" w:hAnsi="Times New Roman" w:cs="Times New Roman"/>
          <w:sz w:val="24"/>
          <w:szCs w:val="24"/>
        </w:rPr>
        <w:t xml:space="preserve">dominate the economic landscape. </w:t>
      </w:r>
      <w:r>
        <w:rPr>
          <w:rFonts w:ascii="Times New Roman" w:hAnsi="Times New Roman" w:cs="Times New Roman"/>
          <w:sz w:val="24"/>
          <w:szCs w:val="24"/>
        </w:rPr>
        <w:t xml:space="preserve">During </w:t>
      </w:r>
      <w:r w:rsidR="00C37F37" w:rsidRPr="00C37F37">
        <w:rPr>
          <w:rFonts w:ascii="Times New Roman" w:hAnsi="Times New Roman" w:cs="Times New Roman"/>
          <w:sz w:val="24"/>
          <w:szCs w:val="24"/>
        </w:rPr>
        <w:t>the Soviet era</w:t>
      </w:r>
      <w:r>
        <w:rPr>
          <w:rFonts w:ascii="Times New Roman" w:hAnsi="Times New Roman" w:cs="Times New Roman"/>
          <w:sz w:val="24"/>
          <w:szCs w:val="24"/>
        </w:rPr>
        <w:t>,</w:t>
      </w:r>
      <w:r w:rsidR="00C37F37" w:rsidRPr="00C37F37">
        <w:rPr>
          <w:rFonts w:ascii="Times New Roman" w:hAnsi="Times New Roman" w:cs="Times New Roman"/>
          <w:sz w:val="24"/>
          <w:szCs w:val="24"/>
        </w:rPr>
        <w:t xml:space="preserve"> these were large conglomerates</w:t>
      </w:r>
      <w:r>
        <w:rPr>
          <w:rFonts w:ascii="Times New Roman" w:hAnsi="Times New Roman" w:cs="Times New Roman"/>
          <w:sz w:val="24"/>
          <w:szCs w:val="24"/>
        </w:rPr>
        <w:t xml:space="preserve"> </w:t>
      </w:r>
      <w:r w:rsidRPr="0085082E">
        <w:rPr>
          <w:rFonts w:ascii="Times New Roman" w:hAnsi="Times New Roman" w:cs="Times New Roman"/>
          <w:sz w:val="24"/>
          <w:szCs w:val="24"/>
        </w:rPr>
        <w:t>(kombinats</w:t>
      </w:r>
      <w:r>
        <w:rPr>
          <w:rFonts w:ascii="Times New Roman" w:hAnsi="Times New Roman" w:cs="Times New Roman"/>
          <w:sz w:val="24"/>
          <w:szCs w:val="24"/>
        </w:rPr>
        <w:t>)</w:t>
      </w:r>
      <w:r w:rsidR="00C37F37" w:rsidRPr="00C37F37">
        <w:rPr>
          <w:rFonts w:ascii="Times New Roman" w:hAnsi="Times New Roman" w:cs="Times New Roman"/>
          <w:sz w:val="24"/>
          <w:szCs w:val="24"/>
        </w:rPr>
        <w:t xml:space="preserve"> of enterprises with strong inside (autarchic) vertical linkages and with very limited, if any, horizontal connections. </w:t>
      </w:r>
      <w:r>
        <w:rPr>
          <w:rFonts w:ascii="Times New Roman" w:hAnsi="Times New Roman" w:cs="Times New Roman"/>
          <w:sz w:val="24"/>
          <w:szCs w:val="24"/>
        </w:rPr>
        <w:t>In recent years, s</w:t>
      </w:r>
      <w:r w:rsidR="006E61F6">
        <w:rPr>
          <w:rFonts w:ascii="Times New Roman" w:hAnsi="Times New Roman" w:cs="Times New Roman"/>
          <w:sz w:val="24"/>
          <w:szCs w:val="24"/>
        </w:rPr>
        <w:t>ome</w:t>
      </w:r>
      <w:r>
        <w:rPr>
          <w:rFonts w:ascii="Times New Roman" w:hAnsi="Times New Roman" w:cs="Times New Roman"/>
          <w:sz w:val="24"/>
          <w:szCs w:val="24"/>
        </w:rPr>
        <w:t xml:space="preserve"> of these kombinats, which existed under the legal form of</w:t>
      </w:r>
      <w:r w:rsidR="00C37F37" w:rsidRPr="00C37F37">
        <w:rPr>
          <w:rFonts w:ascii="Times New Roman" w:hAnsi="Times New Roman" w:cs="Times New Roman"/>
          <w:sz w:val="24"/>
          <w:szCs w:val="24"/>
        </w:rPr>
        <w:t xml:space="preserve"> republican unitary enterprises</w:t>
      </w:r>
      <w:r>
        <w:rPr>
          <w:rFonts w:ascii="Times New Roman" w:hAnsi="Times New Roman" w:cs="Times New Roman"/>
          <w:sz w:val="24"/>
          <w:szCs w:val="24"/>
        </w:rPr>
        <w:t>,</w:t>
      </w:r>
      <w:r w:rsidR="00C37F37" w:rsidRPr="00C37F37">
        <w:rPr>
          <w:rFonts w:ascii="Times New Roman" w:hAnsi="Times New Roman" w:cs="Times New Roman"/>
          <w:sz w:val="24"/>
          <w:szCs w:val="24"/>
          <w:vertAlign w:val="superscript"/>
        </w:rPr>
        <w:footnoteReference w:id="21"/>
      </w:r>
      <w:r w:rsidR="00C37F37" w:rsidRPr="00C37F37">
        <w:rPr>
          <w:rFonts w:ascii="Times New Roman" w:hAnsi="Times New Roman" w:cs="Times New Roman"/>
          <w:sz w:val="24"/>
          <w:szCs w:val="24"/>
        </w:rPr>
        <w:t xml:space="preserve"> were transformed into joint stock companies</w:t>
      </w:r>
      <w:r w:rsidR="006E61F6">
        <w:rPr>
          <w:rFonts w:ascii="Times New Roman" w:hAnsi="Times New Roman" w:cs="Times New Roman"/>
          <w:sz w:val="24"/>
          <w:szCs w:val="24"/>
        </w:rPr>
        <w:t xml:space="preserve"> with the goal to attract private investment</w:t>
      </w:r>
      <w:r>
        <w:rPr>
          <w:rFonts w:ascii="Times New Roman" w:hAnsi="Times New Roman" w:cs="Times New Roman"/>
          <w:sz w:val="24"/>
          <w:szCs w:val="24"/>
        </w:rPr>
        <w:t xml:space="preserve">. However, </w:t>
      </w:r>
      <w:r w:rsidR="00C37F37" w:rsidRPr="00C37F37">
        <w:rPr>
          <w:rFonts w:ascii="Times New Roman" w:hAnsi="Times New Roman" w:cs="Times New Roman"/>
          <w:sz w:val="24"/>
          <w:szCs w:val="24"/>
        </w:rPr>
        <w:t>the</w:t>
      </w:r>
      <w:r>
        <w:rPr>
          <w:rFonts w:ascii="Times New Roman" w:hAnsi="Times New Roman" w:cs="Times New Roman"/>
          <w:sz w:val="24"/>
          <w:szCs w:val="24"/>
        </w:rPr>
        <w:t>ir</w:t>
      </w:r>
      <w:r w:rsidR="00C37F37" w:rsidRPr="00C37F37">
        <w:rPr>
          <w:rFonts w:ascii="Times New Roman" w:hAnsi="Times New Roman" w:cs="Times New Roman"/>
          <w:sz w:val="24"/>
          <w:szCs w:val="24"/>
        </w:rPr>
        <w:t xml:space="preserve"> shares</w:t>
      </w:r>
      <w:r>
        <w:rPr>
          <w:rFonts w:ascii="Times New Roman" w:hAnsi="Times New Roman" w:cs="Times New Roman"/>
          <w:sz w:val="24"/>
          <w:szCs w:val="24"/>
        </w:rPr>
        <w:t xml:space="preserve"> have</w:t>
      </w:r>
      <w:r w:rsidR="00C37F37" w:rsidRPr="00C37F37">
        <w:rPr>
          <w:rFonts w:ascii="Times New Roman" w:hAnsi="Times New Roman" w:cs="Times New Roman"/>
          <w:sz w:val="24"/>
          <w:szCs w:val="24"/>
        </w:rPr>
        <w:t xml:space="preserve"> usually remained state-owned. The</w:t>
      </w:r>
      <w:r>
        <w:rPr>
          <w:rFonts w:ascii="Times New Roman" w:hAnsi="Times New Roman" w:cs="Times New Roman"/>
          <w:sz w:val="24"/>
          <w:szCs w:val="24"/>
        </w:rPr>
        <w:t>se firms also</w:t>
      </w:r>
      <w:r w:rsidR="00C37F37" w:rsidRPr="00C37F37">
        <w:rPr>
          <w:rFonts w:ascii="Times New Roman" w:hAnsi="Times New Roman" w:cs="Times New Roman"/>
          <w:sz w:val="24"/>
          <w:szCs w:val="24"/>
        </w:rPr>
        <w:t xml:space="preserve"> have tight links to the supervising ministry</w:t>
      </w:r>
      <w:r w:rsidR="006E61F6">
        <w:rPr>
          <w:rFonts w:ascii="Times New Roman" w:hAnsi="Times New Roman" w:cs="Times New Roman"/>
          <w:sz w:val="24"/>
          <w:szCs w:val="24"/>
        </w:rPr>
        <w:t>,</w:t>
      </w:r>
      <w:r w:rsidR="00C37F37" w:rsidRPr="00C37F37">
        <w:rPr>
          <w:rFonts w:ascii="Times New Roman" w:hAnsi="Times New Roman" w:cs="Times New Roman"/>
          <w:sz w:val="24"/>
          <w:szCs w:val="24"/>
        </w:rPr>
        <w:t xml:space="preserve"> which limits decision-making by business interests. </w:t>
      </w:r>
    </w:p>
    <w:p w:rsidR="006E61F6" w:rsidRDefault="006E61F6" w:rsidP="006E61F6">
      <w:pPr>
        <w:spacing w:after="0" w:line="240" w:lineRule="auto"/>
        <w:jc w:val="both"/>
        <w:rPr>
          <w:rFonts w:ascii="Times New Roman" w:hAnsi="Times New Roman" w:cs="Times New Roman"/>
          <w:sz w:val="24"/>
          <w:szCs w:val="24"/>
        </w:rPr>
      </w:pPr>
    </w:p>
    <w:p w:rsidR="00C37F37" w:rsidRPr="00C37F37" w:rsidRDefault="00C37F37" w:rsidP="006E61F6">
      <w:pPr>
        <w:spacing w:after="0" w:line="240" w:lineRule="auto"/>
        <w:jc w:val="both"/>
        <w:rPr>
          <w:rFonts w:ascii="Times New Roman" w:eastAsia="Times New Roman" w:hAnsi="Times New Roman" w:cs="Times New Roman"/>
          <w:sz w:val="24"/>
          <w:szCs w:val="24"/>
          <w:lang w:eastAsia="hu-HU"/>
        </w:rPr>
      </w:pPr>
      <w:r w:rsidRPr="00C37F37">
        <w:rPr>
          <w:rFonts w:ascii="Times New Roman" w:hAnsi="Times New Roman" w:cs="Times New Roman"/>
          <w:sz w:val="24"/>
          <w:szCs w:val="24"/>
        </w:rPr>
        <w:t xml:space="preserve">The majority of </w:t>
      </w:r>
      <w:r w:rsidRPr="00C37F37">
        <w:rPr>
          <w:rFonts w:ascii="Times New Roman" w:eastAsia="Times New Roman" w:hAnsi="Times New Roman" w:cs="Times New Roman"/>
          <w:sz w:val="24"/>
          <w:szCs w:val="24"/>
          <w:lang w:eastAsia="hu-HU"/>
        </w:rPr>
        <w:t>organizations that belong to the large public sector use mid-20</w:t>
      </w:r>
      <w:r w:rsidRPr="00C37F37">
        <w:rPr>
          <w:rFonts w:ascii="Times New Roman" w:eastAsia="Times New Roman" w:hAnsi="Times New Roman" w:cs="Times New Roman"/>
          <w:sz w:val="24"/>
          <w:szCs w:val="24"/>
          <w:vertAlign w:val="superscript"/>
          <w:lang w:eastAsia="hu-HU"/>
        </w:rPr>
        <w:t>th</w:t>
      </w:r>
      <w:r w:rsidRPr="00C37F37">
        <w:rPr>
          <w:rFonts w:ascii="Times New Roman" w:eastAsia="Times New Roman" w:hAnsi="Times New Roman" w:cs="Times New Roman"/>
          <w:sz w:val="24"/>
          <w:szCs w:val="24"/>
          <w:lang w:eastAsia="hu-HU"/>
        </w:rPr>
        <w:t xml:space="preserve"> century technological modes; their economic management is still hierarchical, and the linkages predominantly vertical between ministries and economic entities. Reorganisation has hardly changed the traditional high degree of concentration which produced many production monopolies. The competition level is still low</w:t>
      </w:r>
      <w:r w:rsidR="0085082E">
        <w:rPr>
          <w:rFonts w:ascii="Times New Roman" w:eastAsia="Times New Roman" w:hAnsi="Times New Roman" w:cs="Times New Roman"/>
          <w:sz w:val="24"/>
          <w:szCs w:val="24"/>
          <w:lang w:eastAsia="hu-HU"/>
        </w:rPr>
        <w:t>; and s</w:t>
      </w:r>
      <w:r w:rsidRPr="00C37F37">
        <w:rPr>
          <w:rFonts w:ascii="Times New Roman" w:eastAsia="Times New Roman" w:hAnsi="Times New Roman" w:cs="Times New Roman"/>
          <w:sz w:val="24"/>
          <w:szCs w:val="24"/>
          <w:lang w:eastAsia="hu-HU"/>
        </w:rPr>
        <w:t>mall and medium-sized businesses are developing only slowly</w:t>
      </w:r>
      <w:r w:rsidRPr="00C37F37">
        <w:rPr>
          <w:rFonts w:ascii="Times New Roman" w:eastAsia="Times New Roman" w:hAnsi="Times New Roman" w:cs="Times New Roman"/>
          <w:sz w:val="24"/>
          <w:szCs w:val="24"/>
          <w:vertAlign w:val="superscript"/>
          <w:lang w:eastAsia="hu-HU"/>
        </w:rPr>
        <w:footnoteReference w:id="22"/>
      </w:r>
      <w:r w:rsidR="0085082E">
        <w:rPr>
          <w:rFonts w:ascii="Times New Roman" w:eastAsia="Times New Roman" w:hAnsi="Times New Roman" w:cs="Times New Roman"/>
          <w:sz w:val="24"/>
          <w:szCs w:val="24"/>
          <w:lang w:eastAsia="hu-HU"/>
        </w:rPr>
        <w:t>.</w:t>
      </w:r>
    </w:p>
    <w:p w:rsidR="006E61F6" w:rsidRDefault="006E61F6" w:rsidP="006E61F6">
      <w:pPr>
        <w:spacing w:after="0" w:line="240" w:lineRule="auto"/>
        <w:jc w:val="both"/>
        <w:rPr>
          <w:rFonts w:ascii="Times New Roman" w:eastAsia="Times New Roman" w:hAnsi="Times New Roman" w:cs="Times New Roman"/>
          <w:sz w:val="24"/>
          <w:szCs w:val="24"/>
          <w:highlight w:val="yellow"/>
          <w:lang w:eastAsia="hu-HU"/>
        </w:rPr>
      </w:pPr>
    </w:p>
    <w:p w:rsidR="006E61F6" w:rsidRDefault="00C37F37" w:rsidP="006E61F6">
      <w:pPr>
        <w:spacing w:after="0" w:line="240" w:lineRule="auto"/>
        <w:jc w:val="both"/>
        <w:rPr>
          <w:rFonts w:ascii="Times New Roman" w:hAnsi="Times New Roman" w:cs="Times New Roman"/>
          <w:sz w:val="24"/>
          <w:szCs w:val="24"/>
        </w:rPr>
      </w:pPr>
      <w:r w:rsidRPr="00C37F37">
        <w:rPr>
          <w:rFonts w:ascii="Times New Roman" w:hAnsi="Times New Roman" w:cs="Times New Roman"/>
          <w:sz w:val="24"/>
          <w:szCs w:val="24"/>
        </w:rPr>
        <w:t xml:space="preserve">In Belarus many firms are facing the problem of </w:t>
      </w:r>
      <w:r w:rsidR="00A42F4C">
        <w:rPr>
          <w:rFonts w:ascii="Times New Roman" w:hAnsi="Times New Roman" w:cs="Times New Roman"/>
          <w:sz w:val="24"/>
          <w:szCs w:val="24"/>
        </w:rPr>
        <w:t xml:space="preserve">inadequate </w:t>
      </w:r>
      <w:r w:rsidRPr="00C37F37">
        <w:rPr>
          <w:rFonts w:ascii="Times New Roman" w:hAnsi="Times New Roman" w:cs="Times New Roman"/>
          <w:sz w:val="24"/>
          <w:szCs w:val="24"/>
        </w:rPr>
        <w:t>modernization of equipment. Some of these have a monopoly position in the Belarusian market</w:t>
      </w:r>
      <w:r w:rsidR="00A42F4C">
        <w:rPr>
          <w:rFonts w:ascii="Times New Roman" w:hAnsi="Times New Roman" w:cs="Times New Roman"/>
          <w:sz w:val="24"/>
          <w:szCs w:val="24"/>
        </w:rPr>
        <w:t>,</w:t>
      </w:r>
      <w:r w:rsidRPr="00C37F37">
        <w:rPr>
          <w:rFonts w:ascii="Times New Roman" w:hAnsi="Times New Roman" w:cs="Times New Roman"/>
          <w:sz w:val="24"/>
          <w:szCs w:val="24"/>
        </w:rPr>
        <w:t xml:space="preserve"> which makes them reluctant to innovate. </w:t>
      </w:r>
      <w:r w:rsidR="00A42F4C">
        <w:rPr>
          <w:rFonts w:ascii="Times New Roman" w:hAnsi="Times New Roman" w:cs="Times New Roman"/>
          <w:sz w:val="24"/>
          <w:szCs w:val="24"/>
        </w:rPr>
        <w:t>Indeed, c</w:t>
      </w:r>
      <w:r w:rsidRPr="00C37F37">
        <w:rPr>
          <w:rFonts w:ascii="Times New Roman" w:hAnsi="Times New Roman" w:cs="Times New Roman"/>
          <w:sz w:val="24"/>
          <w:szCs w:val="24"/>
        </w:rPr>
        <w:t xml:space="preserve">ompetition from imported products is not </w:t>
      </w:r>
      <w:r w:rsidR="00A42F4C">
        <w:rPr>
          <w:rFonts w:ascii="Times New Roman" w:hAnsi="Times New Roman" w:cs="Times New Roman"/>
          <w:sz w:val="24"/>
          <w:szCs w:val="24"/>
        </w:rPr>
        <w:t>a strong pressure</w:t>
      </w:r>
      <w:r w:rsidRPr="00C37F37">
        <w:rPr>
          <w:rFonts w:ascii="Times New Roman" w:hAnsi="Times New Roman" w:cs="Times New Roman"/>
          <w:sz w:val="24"/>
          <w:szCs w:val="24"/>
        </w:rPr>
        <w:t xml:space="preserve"> on </w:t>
      </w:r>
      <w:r w:rsidR="00A42F4C">
        <w:rPr>
          <w:rFonts w:ascii="Times New Roman" w:hAnsi="Times New Roman" w:cs="Times New Roman"/>
          <w:sz w:val="24"/>
          <w:szCs w:val="24"/>
        </w:rPr>
        <w:t>local firms</w:t>
      </w:r>
      <w:r w:rsidRPr="00C37F37">
        <w:rPr>
          <w:rFonts w:ascii="Times New Roman" w:hAnsi="Times New Roman" w:cs="Times New Roman"/>
          <w:sz w:val="24"/>
          <w:szCs w:val="24"/>
        </w:rPr>
        <w:t>. Another factor is that very few large companies are interested in producing knowledge-intensive products.</w:t>
      </w:r>
      <w:r w:rsidR="006E2E89">
        <w:rPr>
          <w:rFonts w:ascii="Times New Roman" w:hAnsi="Times New Roman" w:cs="Times New Roman"/>
          <w:sz w:val="24"/>
          <w:szCs w:val="24"/>
        </w:rPr>
        <w:t xml:space="preserve"> As it was shown in the fact finding mission, l</w:t>
      </w:r>
      <w:r w:rsidRPr="00C37F37">
        <w:rPr>
          <w:rFonts w:ascii="Times New Roman" w:hAnsi="Times New Roman" w:cs="Times New Roman"/>
          <w:sz w:val="24"/>
          <w:szCs w:val="24"/>
        </w:rPr>
        <w:t>arge firms prefer to self-finance their modernization and innovation because of the still developing financial market, the scarcity of incentives for innovation and the shortage of funds for governmental programmes</w:t>
      </w:r>
      <w:r w:rsidR="006E2E89">
        <w:rPr>
          <w:rFonts w:ascii="Times New Roman" w:hAnsi="Times New Roman" w:cs="Times New Roman"/>
          <w:sz w:val="24"/>
          <w:szCs w:val="24"/>
        </w:rPr>
        <w:t>.  (</w:t>
      </w:r>
      <w:r w:rsidR="006E2E89" w:rsidRPr="006E2E89">
        <w:rPr>
          <w:rFonts w:ascii="Times New Roman" w:hAnsi="Times New Roman" w:cs="Times New Roman"/>
          <w:sz w:val="24"/>
          <w:szCs w:val="24"/>
          <w:highlight w:val="yellow"/>
        </w:rPr>
        <w:t>see case study</w:t>
      </w:r>
      <w:r w:rsidR="006E2E89">
        <w:rPr>
          <w:rFonts w:ascii="Times New Roman" w:hAnsi="Times New Roman" w:cs="Times New Roman"/>
          <w:sz w:val="24"/>
          <w:szCs w:val="24"/>
          <w:highlight w:val="yellow"/>
        </w:rPr>
        <w:t xml:space="preserve"> 1</w:t>
      </w:r>
      <w:r w:rsidR="006E2E89" w:rsidRPr="006E2E89">
        <w:rPr>
          <w:rFonts w:ascii="Times New Roman" w:hAnsi="Times New Roman" w:cs="Times New Roman"/>
          <w:sz w:val="24"/>
          <w:szCs w:val="24"/>
          <w:highlight w:val="yellow"/>
        </w:rPr>
        <w:t>)</w:t>
      </w:r>
      <w:r w:rsidRPr="006E2E89">
        <w:rPr>
          <w:rFonts w:ascii="Times New Roman" w:hAnsi="Times New Roman" w:cs="Times New Roman"/>
          <w:sz w:val="24"/>
          <w:szCs w:val="24"/>
          <w:highlight w:val="yellow"/>
        </w:rPr>
        <w:t>.</w:t>
      </w:r>
      <w:r w:rsidRPr="00C37F37">
        <w:rPr>
          <w:rFonts w:ascii="Times New Roman" w:hAnsi="Times New Roman" w:cs="Times New Roman"/>
          <w:sz w:val="24"/>
          <w:szCs w:val="24"/>
        </w:rPr>
        <w:t xml:space="preserve"> </w:t>
      </w:r>
    </w:p>
    <w:p w:rsidR="00233B7A" w:rsidRDefault="00233B7A" w:rsidP="006E61F6">
      <w:pPr>
        <w:spacing w:after="0" w:line="240" w:lineRule="auto"/>
        <w:jc w:val="both"/>
        <w:rPr>
          <w:rFonts w:ascii="Times New Roman" w:hAnsi="Times New Roman" w:cs="Times New Roman"/>
          <w:sz w:val="24"/>
          <w:szCs w:val="24"/>
        </w:rPr>
      </w:pPr>
    </w:p>
    <w:p w:rsidR="00C37F37" w:rsidRPr="00C37F37" w:rsidRDefault="00C37F37" w:rsidP="006E61F6">
      <w:pPr>
        <w:spacing w:after="0" w:line="240" w:lineRule="auto"/>
        <w:jc w:val="both"/>
        <w:rPr>
          <w:rFonts w:ascii="Times New Roman" w:hAnsi="Times New Roman" w:cs="Times New Roman"/>
          <w:sz w:val="24"/>
          <w:szCs w:val="24"/>
        </w:rPr>
      </w:pPr>
      <w:r w:rsidRPr="00C37F37">
        <w:rPr>
          <w:rFonts w:ascii="Times New Roman" w:hAnsi="Times New Roman" w:cs="Times New Roman"/>
          <w:sz w:val="24"/>
          <w:szCs w:val="24"/>
        </w:rPr>
        <w:t xml:space="preserve">The adjustment of Belarus organisations to the increasingly borderless open innovation system is still slow. FDI is limited and neighbouring countries as investors are not sending strong impulses for innovation. Some positive examples for encouraging and supporting innovation and FDI may be seen in in Hi-Tech Park. (See </w:t>
      </w:r>
      <w:r w:rsidR="00A42F4C">
        <w:rPr>
          <w:rFonts w:ascii="Times New Roman" w:hAnsi="Times New Roman" w:cs="Times New Roman"/>
          <w:sz w:val="24"/>
          <w:szCs w:val="24"/>
        </w:rPr>
        <w:t>chapter 2</w:t>
      </w:r>
      <w:r w:rsidRPr="00C37F37">
        <w:rPr>
          <w:rFonts w:ascii="Times New Roman" w:hAnsi="Times New Roman" w:cs="Times New Roman"/>
          <w:sz w:val="24"/>
          <w:szCs w:val="24"/>
        </w:rPr>
        <w:t>)</w:t>
      </w:r>
      <w:r w:rsidR="00A42F4C">
        <w:rPr>
          <w:rFonts w:ascii="Times New Roman" w:hAnsi="Times New Roman" w:cs="Times New Roman"/>
          <w:sz w:val="24"/>
          <w:szCs w:val="24"/>
        </w:rPr>
        <w:t>.</w:t>
      </w:r>
      <w:r w:rsidR="00A42F4C" w:rsidRPr="00A42F4C">
        <w:t xml:space="preserve"> </w:t>
      </w:r>
      <w:r w:rsidR="00A42F4C" w:rsidRPr="00A42F4C">
        <w:rPr>
          <w:rFonts w:ascii="Times New Roman" w:hAnsi="Times New Roman" w:cs="Times New Roman"/>
          <w:sz w:val="24"/>
          <w:szCs w:val="24"/>
        </w:rPr>
        <w:t>Another</w:t>
      </w:r>
      <w:r w:rsidR="00A42F4C">
        <w:rPr>
          <w:rFonts w:ascii="Times New Roman" w:hAnsi="Times New Roman" w:cs="Times New Roman"/>
          <w:sz w:val="24"/>
          <w:szCs w:val="24"/>
        </w:rPr>
        <w:t xml:space="preserve"> positive example of internationalisation is the case of Polimaster</w:t>
      </w:r>
      <w:r w:rsidR="00A42F4C" w:rsidRPr="00A42F4C">
        <w:rPr>
          <w:rFonts w:ascii="Times New Roman" w:hAnsi="Times New Roman" w:cs="Times New Roman"/>
          <w:sz w:val="24"/>
          <w:szCs w:val="24"/>
        </w:rPr>
        <w:t xml:space="preserve"> spin-off firm from research institute</w:t>
      </w:r>
      <w:r w:rsidR="00A42F4C">
        <w:rPr>
          <w:rFonts w:ascii="Times New Roman" w:hAnsi="Times New Roman" w:cs="Times New Roman"/>
          <w:sz w:val="24"/>
          <w:szCs w:val="24"/>
        </w:rPr>
        <w:t xml:space="preserve"> that</w:t>
      </w:r>
      <w:r w:rsidR="00A42F4C" w:rsidRPr="00A42F4C">
        <w:rPr>
          <w:rFonts w:ascii="Times New Roman" w:hAnsi="Times New Roman" w:cs="Times New Roman"/>
          <w:sz w:val="24"/>
          <w:szCs w:val="24"/>
        </w:rPr>
        <w:t xml:space="preserve"> became a privately-owned internationally group of companies </w:t>
      </w:r>
      <w:r w:rsidR="00A42F4C">
        <w:rPr>
          <w:rFonts w:ascii="Times New Roman" w:hAnsi="Times New Roman" w:cs="Times New Roman"/>
          <w:sz w:val="24"/>
          <w:szCs w:val="24"/>
        </w:rPr>
        <w:t>(</w:t>
      </w:r>
      <w:r w:rsidR="00A42F4C" w:rsidRPr="00A42F4C">
        <w:rPr>
          <w:rFonts w:ascii="Times New Roman" w:hAnsi="Times New Roman" w:cs="Times New Roman"/>
          <w:sz w:val="24"/>
          <w:szCs w:val="24"/>
          <w:highlight w:val="yellow"/>
        </w:rPr>
        <w:t>See Case study</w:t>
      </w:r>
      <w:r w:rsidR="0085082E">
        <w:rPr>
          <w:rFonts w:ascii="Times New Roman" w:hAnsi="Times New Roman" w:cs="Times New Roman"/>
          <w:sz w:val="24"/>
          <w:szCs w:val="24"/>
        </w:rPr>
        <w:t xml:space="preserve"> 2</w:t>
      </w:r>
      <w:r w:rsidR="00A42F4C">
        <w:rPr>
          <w:rFonts w:ascii="Times New Roman" w:hAnsi="Times New Roman" w:cs="Times New Roman"/>
          <w:sz w:val="24"/>
          <w:szCs w:val="24"/>
        </w:rPr>
        <w:t>)</w:t>
      </w:r>
      <w:r w:rsidRPr="00C37F37">
        <w:rPr>
          <w:rFonts w:ascii="Times New Roman" w:hAnsi="Times New Roman" w:cs="Times New Roman"/>
          <w:sz w:val="24"/>
          <w:szCs w:val="24"/>
        </w:rPr>
        <w:t xml:space="preserve">.  </w:t>
      </w:r>
    </w:p>
    <w:p w:rsidR="00C37F37" w:rsidRPr="00C37F37" w:rsidRDefault="00C37F37" w:rsidP="00C37F37">
      <w:pPr>
        <w:spacing w:after="0" w:line="240" w:lineRule="auto"/>
        <w:ind w:firstLine="709"/>
        <w:jc w:val="both"/>
        <w:rPr>
          <w:rFonts w:ascii="Times New Roman" w:hAnsi="Times New Roman" w:cs="Times New Roman"/>
          <w:sz w:val="24"/>
          <w:szCs w:val="24"/>
        </w:rPr>
      </w:pPr>
    </w:p>
    <w:p w:rsidR="006E61F6" w:rsidRDefault="00C37F37" w:rsidP="000D7E58">
      <w:pPr>
        <w:keepNext/>
        <w:spacing w:after="0" w:line="240" w:lineRule="auto"/>
        <w:jc w:val="both"/>
        <w:outlineLvl w:val="3"/>
        <w:rPr>
          <w:rFonts w:ascii="Times New Roman" w:hAnsi="Times New Roman" w:cs="Times New Roman"/>
          <w:sz w:val="24"/>
          <w:szCs w:val="24"/>
          <w:highlight w:val="yellow"/>
        </w:rPr>
      </w:pPr>
      <w:r w:rsidRPr="00C37F37">
        <w:rPr>
          <w:rFonts w:ascii="Times New Roman" w:eastAsia="Calibri" w:hAnsi="Times New Roman" w:cs="Times New Roman"/>
          <w:bCs/>
          <w:sz w:val="24"/>
          <w:szCs w:val="24"/>
        </w:rPr>
        <w:t>Most spin-offs were created from university faculty or scientific institute. These firms are working in University/Academy-linked technology parks and they were encouraged to continue their commercialization activities in the parks. The key employees of these small firms continue their work at the scientific organisat</w:t>
      </w:r>
      <w:r w:rsidR="006E61F6">
        <w:rPr>
          <w:rFonts w:ascii="Times New Roman" w:eastAsia="Calibri" w:hAnsi="Times New Roman" w:cs="Times New Roman"/>
          <w:bCs/>
          <w:sz w:val="24"/>
          <w:szCs w:val="24"/>
        </w:rPr>
        <w:t>ions</w:t>
      </w:r>
      <w:r w:rsidRPr="00C37F37">
        <w:rPr>
          <w:rFonts w:ascii="Times New Roman" w:eastAsia="Calibri" w:hAnsi="Times New Roman" w:cs="Times New Roman"/>
          <w:bCs/>
          <w:sz w:val="24"/>
          <w:szCs w:val="24"/>
        </w:rPr>
        <w:t>.</w:t>
      </w:r>
      <w:r w:rsidR="000D7E58">
        <w:rPr>
          <w:rFonts w:ascii="Times New Roman" w:eastAsia="Calibri" w:hAnsi="Times New Roman" w:cs="Times New Roman"/>
          <w:bCs/>
          <w:sz w:val="24"/>
          <w:szCs w:val="24"/>
        </w:rPr>
        <w:t xml:space="preserve"> </w:t>
      </w:r>
      <w:r w:rsidRPr="00C37F37">
        <w:rPr>
          <w:rFonts w:ascii="Times New Roman" w:eastAsia="Calibri" w:hAnsi="Times New Roman" w:cs="Times New Roman"/>
          <w:bCs/>
          <w:sz w:val="24"/>
          <w:szCs w:val="24"/>
        </w:rPr>
        <w:t xml:space="preserve">The advantages to be in University /Academy linked technology parks are the </w:t>
      </w:r>
      <w:r w:rsidRPr="00C37F37">
        <w:rPr>
          <w:rFonts w:ascii="Times New Roman" w:eastAsia="Times New Roman" w:hAnsi="Times New Roman" w:cs="Times New Roman"/>
          <w:bCs/>
          <w:sz w:val="24"/>
          <w:szCs w:val="24"/>
          <w:lang w:eastAsia="hu-HU"/>
        </w:rPr>
        <w:t>preferential treatment for residents, such as:</w:t>
      </w:r>
      <w:r w:rsidR="000D7E58">
        <w:rPr>
          <w:rFonts w:ascii="Times New Roman" w:eastAsia="Times New Roman" w:hAnsi="Times New Roman" w:cs="Times New Roman"/>
          <w:bCs/>
          <w:sz w:val="24"/>
          <w:szCs w:val="24"/>
          <w:lang w:eastAsia="hu-HU"/>
        </w:rPr>
        <w:t xml:space="preserve"> lower</w:t>
      </w:r>
      <w:r w:rsidRPr="00C37F37">
        <w:rPr>
          <w:rFonts w:ascii="Times New Roman" w:eastAsia="Times New Roman" w:hAnsi="Times New Roman" w:cs="Times New Roman"/>
          <w:sz w:val="24"/>
          <w:szCs w:val="24"/>
          <w:lang w:eastAsia="hu-HU"/>
        </w:rPr>
        <w:t xml:space="preserve"> corporate tax</w:t>
      </w:r>
      <w:r w:rsidR="000D7E58">
        <w:rPr>
          <w:rFonts w:ascii="Times New Roman" w:eastAsia="Times New Roman" w:hAnsi="Times New Roman" w:cs="Times New Roman"/>
          <w:sz w:val="24"/>
          <w:szCs w:val="24"/>
          <w:lang w:eastAsia="hu-HU"/>
        </w:rPr>
        <w:t>, subsidized or free r</w:t>
      </w:r>
      <w:r w:rsidRPr="00C37F37">
        <w:rPr>
          <w:rFonts w:ascii="Times New Roman" w:eastAsia="Times New Roman" w:hAnsi="Times New Roman" w:cs="Times New Roman"/>
          <w:sz w:val="24"/>
          <w:szCs w:val="24"/>
          <w:lang w:eastAsia="hu-HU"/>
        </w:rPr>
        <w:t>esidential</w:t>
      </w:r>
      <w:r w:rsidR="000D7E58">
        <w:rPr>
          <w:rFonts w:ascii="Times New Roman" w:eastAsia="Times New Roman" w:hAnsi="Times New Roman" w:cs="Times New Roman"/>
          <w:sz w:val="24"/>
          <w:szCs w:val="24"/>
          <w:lang w:eastAsia="hu-HU"/>
        </w:rPr>
        <w:t xml:space="preserve"> and rental</w:t>
      </w:r>
      <w:r w:rsidRPr="00C37F37">
        <w:rPr>
          <w:rFonts w:ascii="Times New Roman" w:eastAsia="Times New Roman" w:hAnsi="Times New Roman" w:cs="Times New Roman"/>
          <w:sz w:val="24"/>
          <w:szCs w:val="24"/>
          <w:lang w:eastAsia="hu-HU"/>
        </w:rPr>
        <w:t xml:space="preserve"> costs</w:t>
      </w:r>
      <w:r w:rsidR="000D7E58">
        <w:rPr>
          <w:rFonts w:ascii="Times New Roman" w:eastAsia="Times New Roman" w:hAnsi="Times New Roman" w:cs="Times New Roman"/>
          <w:sz w:val="24"/>
          <w:szCs w:val="24"/>
          <w:lang w:eastAsia="hu-HU"/>
        </w:rPr>
        <w:t>, low or near-zero rate l</w:t>
      </w:r>
      <w:r w:rsidRPr="00C37F37">
        <w:rPr>
          <w:rFonts w:ascii="Times New Roman" w:eastAsia="Times New Roman" w:hAnsi="Times New Roman" w:cs="Times New Roman"/>
          <w:sz w:val="24"/>
          <w:szCs w:val="24"/>
          <w:lang w:eastAsia="hu-HU"/>
        </w:rPr>
        <w:t>ocal tax</w:t>
      </w:r>
      <w:r w:rsidR="000D7E58">
        <w:rPr>
          <w:rFonts w:ascii="Times New Roman" w:eastAsia="Times New Roman" w:hAnsi="Times New Roman" w:cs="Times New Roman"/>
          <w:sz w:val="24"/>
          <w:szCs w:val="24"/>
          <w:lang w:eastAsia="hu-HU"/>
        </w:rPr>
        <w:t>es</w:t>
      </w:r>
      <w:r w:rsidRPr="00C37F37">
        <w:rPr>
          <w:rFonts w:ascii="Times New Roman" w:eastAsia="Times New Roman" w:hAnsi="Times New Roman" w:cs="Times New Roman"/>
          <w:sz w:val="24"/>
          <w:szCs w:val="24"/>
          <w:lang w:eastAsia="hu-HU"/>
        </w:rPr>
        <w:t xml:space="preserve"> (</w:t>
      </w:r>
      <w:r w:rsidR="000D7E58">
        <w:rPr>
          <w:rFonts w:ascii="Times New Roman" w:eastAsia="Times New Roman" w:hAnsi="Times New Roman" w:cs="Times New Roman"/>
          <w:sz w:val="24"/>
          <w:szCs w:val="24"/>
          <w:lang w:eastAsia="hu-HU"/>
        </w:rPr>
        <w:t xml:space="preserve">vary </w:t>
      </w:r>
      <w:r w:rsidRPr="00C37F37">
        <w:rPr>
          <w:rFonts w:ascii="Times New Roman" w:eastAsia="Times New Roman" w:hAnsi="Times New Roman" w:cs="Times New Roman"/>
          <w:sz w:val="24"/>
          <w:szCs w:val="24"/>
          <w:lang w:eastAsia="hu-HU"/>
        </w:rPr>
        <w:t>by region)</w:t>
      </w:r>
      <w:r w:rsidR="000D7E58">
        <w:rPr>
          <w:rFonts w:ascii="Times New Roman" w:eastAsia="Times New Roman" w:hAnsi="Times New Roman" w:cs="Times New Roman"/>
          <w:sz w:val="24"/>
          <w:szCs w:val="24"/>
          <w:lang w:eastAsia="hu-HU"/>
        </w:rPr>
        <w:t xml:space="preserve">, and access to </w:t>
      </w:r>
      <w:r w:rsidRPr="00C37F37">
        <w:rPr>
          <w:rFonts w:ascii="Times New Roman" w:eastAsia="Times New Roman" w:hAnsi="Times New Roman" w:cs="Times New Roman"/>
          <w:sz w:val="24"/>
          <w:szCs w:val="24"/>
          <w:lang w:eastAsia="hu-HU"/>
        </w:rPr>
        <w:t>budget</w:t>
      </w:r>
      <w:r w:rsidR="000D7E58">
        <w:rPr>
          <w:rFonts w:ascii="Times New Roman" w:eastAsia="Times New Roman" w:hAnsi="Times New Roman" w:cs="Times New Roman"/>
          <w:sz w:val="24"/>
          <w:szCs w:val="24"/>
          <w:lang w:eastAsia="hu-HU"/>
        </w:rPr>
        <w:t xml:space="preserve"> funding.</w:t>
      </w:r>
    </w:p>
    <w:p w:rsidR="00450FCE" w:rsidRDefault="00450FCE" w:rsidP="006E61F6">
      <w:pPr>
        <w:spacing w:after="0" w:line="240" w:lineRule="auto"/>
        <w:jc w:val="both"/>
        <w:rPr>
          <w:rFonts w:ascii="Times New Roman" w:hAnsi="Times New Roman" w:cs="Times New Roman"/>
          <w:sz w:val="24"/>
          <w:szCs w:val="24"/>
        </w:rPr>
      </w:pPr>
    </w:p>
    <w:p w:rsidR="00C37F37" w:rsidRPr="00C37F37" w:rsidRDefault="000D7E58" w:rsidP="006E61F6">
      <w:pPr>
        <w:spacing w:after="0" w:line="240" w:lineRule="auto"/>
        <w:jc w:val="both"/>
        <w:rPr>
          <w:rFonts w:ascii="Times New Roman" w:hAnsi="Times New Roman" w:cs="Times New Roman"/>
          <w:sz w:val="24"/>
          <w:szCs w:val="24"/>
        </w:rPr>
      </w:pPr>
      <w:r w:rsidRPr="000D7E58">
        <w:rPr>
          <w:rFonts w:ascii="Times New Roman" w:hAnsi="Times New Roman" w:cs="Times New Roman"/>
          <w:sz w:val="24"/>
          <w:szCs w:val="24"/>
          <w:highlight w:val="yellow"/>
        </w:rPr>
        <w:t>A t</w:t>
      </w:r>
      <w:r w:rsidR="00C37F37" w:rsidRPr="000D7E58">
        <w:rPr>
          <w:rFonts w:ascii="Times New Roman" w:hAnsi="Times New Roman" w:cs="Times New Roman"/>
          <w:sz w:val="24"/>
          <w:szCs w:val="24"/>
          <w:highlight w:val="yellow"/>
        </w:rPr>
        <w:t>hird case</w:t>
      </w:r>
      <w:r w:rsidRPr="000D7E58">
        <w:rPr>
          <w:rFonts w:ascii="Times New Roman" w:hAnsi="Times New Roman" w:cs="Times New Roman"/>
          <w:sz w:val="24"/>
          <w:szCs w:val="24"/>
          <w:highlight w:val="yellow"/>
        </w:rPr>
        <w:t xml:space="preserve"> study (Polimag)</w:t>
      </w:r>
      <w:r w:rsidR="00C37F37" w:rsidRPr="000D7E58">
        <w:rPr>
          <w:rFonts w:ascii="Times New Roman" w:hAnsi="Times New Roman" w:cs="Times New Roman"/>
          <w:sz w:val="24"/>
          <w:szCs w:val="24"/>
          <w:highlight w:val="yellow"/>
        </w:rPr>
        <w:t xml:space="preserve"> is</w:t>
      </w:r>
      <w:r w:rsidR="00C37F37" w:rsidRPr="00C37F37">
        <w:rPr>
          <w:rFonts w:ascii="Times New Roman" w:hAnsi="Times New Roman" w:cs="Times New Roman"/>
          <w:sz w:val="24"/>
          <w:szCs w:val="24"/>
        </w:rPr>
        <w:t xml:space="preserve"> a government-owned small company that spinned out from an Institute of Academy and is working in a university linked technology park. </w:t>
      </w:r>
    </w:p>
    <w:p w:rsidR="00C37F37" w:rsidRPr="00C37F37" w:rsidRDefault="00C37F37" w:rsidP="00C37F37">
      <w:pPr>
        <w:spacing w:after="0" w:line="240" w:lineRule="auto"/>
        <w:ind w:firstLine="709"/>
        <w:jc w:val="both"/>
        <w:rPr>
          <w:rFonts w:ascii="Times New Roman" w:hAnsi="Times New Roman" w:cs="Times New Roman"/>
          <w:sz w:val="24"/>
          <w:szCs w:val="24"/>
        </w:rPr>
      </w:pPr>
    </w:p>
    <w:p w:rsidR="008647AD" w:rsidRPr="008647AD" w:rsidRDefault="008647AD" w:rsidP="00C65103">
      <w:pPr>
        <w:autoSpaceDE w:val="0"/>
        <w:autoSpaceDN w:val="0"/>
        <w:spacing w:after="0" w:line="240" w:lineRule="auto"/>
        <w:jc w:val="both"/>
        <w:rPr>
          <w:rFonts w:ascii="Times New Roman" w:hAnsi="Times New Roman" w:cs="Times New Roman"/>
          <w:i/>
          <w:sz w:val="24"/>
          <w:szCs w:val="24"/>
        </w:rPr>
      </w:pPr>
      <w:r w:rsidRPr="008647AD">
        <w:rPr>
          <w:rFonts w:ascii="Times New Roman" w:hAnsi="Times New Roman" w:cs="Times New Roman"/>
          <w:i/>
          <w:sz w:val="24"/>
          <w:szCs w:val="24"/>
        </w:rPr>
        <w:t>Findings from quantitative survey analysis</w:t>
      </w:r>
    </w:p>
    <w:p w:rsidR="008647AD" w:rsidRDefault="008647AD" w:rsidP="00C65103">
      <w:pPr>
        <w:autoSpaceDE w:val="0"/>
        <w:autoSpaceDN w:val="0"/>
        <w:spacing w:after="0" w:line="240" w:lineRule="auto"/>
        <w:jc w:val="both"/>
        <w:rPr>
          <w:rFonts w:ascii="Times New Roman" w:hAnsi="Times New Roman" w:cs="Times New Roman"/>
          <w:sz w:val="24"/>
          <w:szCs w:val="24"/>
        </w:rPr>
      </w:pPr>
    </w:p>
    <w:p w:rsidR="00C65103" w:rsidRPr="00C65103" w:rsidRDefault="008647AD" w:rsidP="00C651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interviews undertaken in the context of the fact finding missions, the analysis of quantitative information can help understand the key challenges to innovation from a broader perspective. </w:t>
      </w:r>
      <w:r w:rsidR="00C65103">
        <w:rPr>
          <w:rFonts w:ascii="Times New Roman" w:hAnsi="Times New Roman" w:cs="Times New Roman"/>
          <w:sz w:val="24"/>
          <w:szCs w:val="24"/>
        </w:rPr>
        <w:t xml:space="preserve">The </w:t>
      </w:r>
      <w:r w:rsidR="00C65103" w:rsidRPr="00C65103">
        <w:rPr>
          <w:rFonts w:ascii="Times New Roman" w:hAnsi="Times New Roman" w:cs="Times New Roman"/>
          <w:i/>
          <w:sz w:val="24"/>
          <w:szCs w:val="24"/>
        </w:rPr>
        <w:t>Belarus innovation survey</w:t>
      </w:r>
      <w:r w:rsidR="00C65103" w:rsidRPr="00C65103">
        <w:rPr>
          <w:rFonts w:ascii="Times New Roman" w:hAnsi="Times New Roman" w:cs="Times New Roman"/>
          <w:sz w:val="24"/>
          <w:szCs w:val="24"/>
        </w:rPr>
        <w:t xml:space="preserve"> has provided important information shedding some light on current processes characterising the innovation performance and behaviour of business organisations. BelStat innovation survey focus</w:t>
      </w:r>
      <w:r w:rsidR="00661B8F">
        <w:rPr>
          <w:rFonts w:ascii="Times New Roman" w:hAnsi="Times New Roman" w:cs="Times New Roman"/>
          <w:sz w:val="24"/>
          <w:szCs w:val="24"/>
        </w:rPr>
        <w:t>es</w:t>
      </w:r>
      <w:r w:rsidR="00C65103" w:rsidRPr="00C65103">
        <w:rPr>
          <w:rFonts w:ascii="Times New Roman" w:hAnsi="Times New Roman" w:cs="Times New Roman"/>
          <w:sz w:val="24"/>
          <w:szCs w:val="24"/>
        </w:rPr>
        <w:t xml:space="preserve"> mainly on large- and medium-sized organisations.</w:t>
      </w:r>
      <w:r w:rsidR="00C65103">
        <w:rPr>
          <w:rFonts w:ascii="Times New Roman" w:hAnsi="Times New Roman" w:cs="Times New Roman"/>
          <w:sz w:val="24"/>
          <w:szCs w:val="24"/>
        </w:rPr>
        <w:t xml:space="preserve"> </w:t>
      </w:r>
      <w:r w:rsidRPr="008647AD">
        <w:rPr>
          <w:rFonts w:ascii="Times New Roman" w:hAnsi="Times New Roman" w:cs="Times New Roman"/>
          <w:sz w:val="24"/>
          <w:szCs w:val="24"/>
        </w:rPr>
        <w:t>In 2013, of 411 innovation active organisations, roughly 270 were large.</w:t>
      </w:r>
    </w:p>
    <w:p w:rsidR="00C65103" w:rsidRPr="00C65103" w:rsidRDefault="00C65103" w:rsidP="00C65103">
      <w:pPr>
        <w:spacing w:after="0" w:line="240" w:lineRule="auto"/>
        <w:ind w:firstLine="357"/>
        <w:jc w:val="both"/>
        <w:rPr>
          <w:rFonts w:ascii="Times New Roman" w:hAnsi="Times New Roman" w:cs="Times New Roman"/>
          <w:sz w:val="24"/>
          <w:szCs w:val="24"/>
        </w:rPr>
      </w:pPr>
      <w:r w:rsidRPr="00C65103">
        <w:rPr>
          <w:rFonts w:ascii="Times New Roman" w:hAnsi="Times New Roman" w:cs="Times New Roman"/>
          <w:sz w:val="24"/>
          <w:szCs w:val="24"/>
        </w:rPr>
        <w:t xml:space="preserve">  </w:t>
      </w:r>
    </w:p>
    <w:p w:rsidR="00C65103" w:rsidRPr="00852910" w:rsidRDefault="00C65103" w:rsidP="00C65103">
      <w:pPr>
        <w:spacing w:after="0" w:line="240" w:lineRule="auto"/>
        <w:jc w:val="center"/>
        <w:rPr>
          <w:rFonts w:ascii="Times New Roman" w:eastAsia="Times New Roman" w:hAnsi="Times New Roman" w:cs="Times New Roman"/>
          <w:bCs/>
          <w:sz w:val="24"/>
          <w:szCs w:val="24"/>
          <w:lang w:eastAsia="hu-HU"/>
        </w:rPr>
      </w:pPr>
      <w:r w:rsidRPr="00661B8F">
        <w:rPr>
          <w:rFonts w:ascii="Times New Roman" w:eastAsia="Times New Roman" w:hAnsi="Times New Roman" w:cs="Times New Roman"/>
          <w:bCs/>
          <w:sz w:val="24"/>
          <w:szCs w:val="24"/>
          <w:highlight w:val="yellow"/>
          <w:lang w:eastAsia="hu-HU"/>
        </w:rPr>
        <w:t>Table 8</w:t>
      </w:r>
      <w:r w:rsidR="003F73D8" w:rsidRPr="00852910">
        <w:rPr>
          <w:rFonts w:ascii="Times New Roman" w:eastAsia="Times New Roman" w:hAnsi="Times New Roman" w:cs="Times New Roman"/>
          <w:bCs/>
          <w:sz w:val="24"/>
          <w:szCs w:val="24"/>
          <w:lang w:eastAsia="hu-HU"/>
        </w:rPr>
        <w:t>.</w:t>
      </w:r>
      <w:r w:rsidRPr="00852910">
        <w:rPr>
          <w:rFonts w:ascii="Times New Roman" w:eastAsia="Times New Roman" w:hAnsi="Times New Roman" w:cs="Times New Roman"/>
          <w:bCs/>
          <w:sz w:val="24"/>
          <w:szCs w:val="24"/>
          <w:lang w:eastAsia="hu-HU"/>
        </w:rPr>
        <w:t xml:space="preserve"> Indicators of intramural innovation and industrial activities </w:t>
      </w:r>
    </w:p>
    <w:p w:rsidR="00C65103" w:rsidRPr="00C65103" w:rsidRDefault="00C65103" w:rsidP="00C65103">
      <w:pPr>
        <w:autoSpaceDE w:val="0"/>
        <w:autoSpaceDN w:val="0"/>
        <w:spacing w:after="0" w:line="240" w:lineRule="auto"/>
        <w:jc w:val="both"/>
        <w:rPr>
          <w:rFonts w:ascii="Times New Roman" w:eastAsia="Times New Roman" w:hAnsi="Times New Roman" w:cs="Times New Roman"/>
          <w:b/>
          <w:bCs/>
          <w:sz w:val="20"/>
          <w:szCs w:val="20"/>
          <w:lang w:eastAsia="hu-HU"/>
        </w:rPr>
      </w:pP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616"/>
        <w:gridCol w:w="616"/>
        <w:gridCol w:w="616"/>
        <w:gridCol w:w="616"/>
        <w:gridCol w:w="616"/>
        <w:gridCol w:w="616"/>
      </w:tblGrid>
      <w:tr w:rsidR="00C65103" w:rsidRPr="00C65103" w:rsidTr="00C651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hideMark/>
          </w:tcPr>
          <w:p w:rsidR="00C65103" w:rsidRPr="00B524BA" w:rsidRDefault="00C65103" w:rsidP="00C65103">
            <w:pPr>
              <w:jc w:val="center"/>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Indicators </w:t>
            </w:r>
          </w:p>
        </w:tc>
        <w:tc>
          <w:tcPr>
            <w:tcW w:w="0" w:type="auto"/>
            <w:tcBorders>
              <w:bottom w:val="none" w:sz="0"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2010</w:t>
            </w:r>
          </w:p>
        </w:tc>
        <w:tc>
          <w:tcPr>
            <w:tcW w:w="0" w:type="auto"/>
            <w:tcBorders>
              <w:bottom w:val="none" w:sz="0"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2011</w:t>
            </w:r>
          </w:p>
        </w:tc>
        <w:tc>
          <w:tcPr>
            <w:tcW w:w="0" w:type="auto"/>
            <w:tcBorders>
              <w:bottom w:val="none" w:sz="0"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2012</w:t>
            </w:r>
          </w:p>
        </w:tc>
        <w:tc>
          <w:tcPr>
            <w:tcW w:w="0" w:type="auto"/>
            <w:tcBorders>
              <w:bottom w:val="none" w:sz="0"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2013</w:t>
            </w:r>
          </w:p>
        </w:tc>
        <w:tc>
          <w:tcPr>
            <w:tcW w:w="0" w:type="auto"/>
            <w:tcBorders>
              <w:bottom w:val="none" w:sz="0"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2014</w:t>
            </w:r>
          </w:p>
        </w:tc>
        <w:tc>
          <w:tcPr>
            <w:tcW w:w="0" w:type="auto"/>
            <w:tcBorders>
              <w:bottom w:val="none" w:sz="0" w:space="0" w:color="auto"/>
            </w:tcBorders>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2015</w:t>
            </w:r>
          </w:p>
        </w:tc>
      </w:tr>
      <w:tr w:rsidR="00C65103" w:rsidRPr="00C65103" w:rsidTr="00C65103">
        <w:trPr>
          <w:trHeight w:val="510"/>
        </w:trPr>
        <w:tc>
          <w:tcPr>
            <w:cnfStyle w:val="001000000000" w:firstRow="0" w:lastRow="0" w:firstColumn="1" w:lastColumn="0" w:oddVBand="0" w:evenVBand="0" w:oddHBand="0" w:evenHBand="0" w:firstRowFirstColumn="0" w:firstRowLastColumn="0" w:lastRowFirstColumn="0" w:lastRowLastColumn="0"/>
            <w:tcW w:w="0" w:type="auto"/>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Number of innovation-active industrial organisations </w:t>
            </w:r>
          </w:p>
        </w:tc>
        <w:tc>
          <w:tcPr>
            <w:tcW w:w="0" w:type="auto"/>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324</w:t>
            </w:r>
          </w:p>
        </w:tc>
        <w:tc>
          <w:tcPr>
            <w:tcW w:w="0" w:type="auto"/>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443</w:t>
            </w:r>
          </w:p>
        </w:tc>
        <w:tc>
          <w:tcPr>
            <w:tcW w:w="0" w:type="auto"/>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437</w:t>
            </w:r>
          </w:p>
        </w:tc>
        <w:tc>
          <w:tcPr>
            <w:tcW w:w="0" w:type="auto"/>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411</w:t>
            </w:r>
          </w:p>
        </w:tc>
        <w:tc>
          <w:tcPr>
            <w:tcW w:w="0" w:type="auto"/>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383</w:t>
            </w:r>
          </w:p>
        </w:tc>
        <w:tc>
          <w:tcPr>
            <w:tcW w:w="0" w:type="auto"/>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342</w:t>
            </w:r>
          </w:p>
        </w:tc>
      </w:tr>
      <w:tr w:rsidR="00C65103" w:rsidRPr="00C65103" w:rsidTr="00C65103">
        <w:trPr>
          <w:trHeight w:val="606"/>
        </w:trPr>
        <w:tc>
          <w:tcPr>
            <w:cnfStyle w:val="001000000000" w:firstRow="0" w:lastRow="0" w:firstColumn="1" w:lastColumn="0" w:oddVBand="0" w:evenVBand="0" w:oddHBand="0" w:evenHBand="0" w:firstRowFirstColumn="0" w:firstRowLastColumn="0" w:lastRowFirstColumn="0" w:lastRowLastColumn="0"/>
            <w:tcW w:w="0" w:type="auto"/>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Share of innovation-active organisations in total industrial organisations surveyed, %</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15</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4</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22</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7</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22</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21</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7</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20</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9</w:t>
            </w:r>
          </w:p>
        </w:tc>
        <w:tc>
          <w:tcPr>
            <w:tcW w:w="0" w:type="auto"/>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19</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6</w:t>
            </w:r>
          </w:p>
        </w:tc>
      </w:tr>
      <w:tr w:rsidR="00C65103" w:rsidRPr="00C65103" w:rsidTr="00C65103">
        <w:trPr>
          <w:trHeight w:val="558"/>
        </w:trPr>
        <w:tc>
          <w:tcPr>
            <w:cnfStyle w:val="001000000000" w:firstRow="0" w:lastRow="0" w:firstColumn="1" w:lastColumn="0" w:oddVBand="0" w:evenVBand="0" w:oddHBand="0" w:evenHBand="0" w:firstRowFirstColumn="0" w:firstRowLastColumn="0" w:lastRowFirstColumn="0" w:lastRowLastColumn="0"/>
            <w:tcW w:w="0" w:type="auto"/>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Share of shipped innovative output in total industrial output shipped, %</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5</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4</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17</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17</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8</w:t>
            </w:r>
          </w:p>
        </w:tc>
        <w:tc>
          <w:tcPr>
            <w:tcW w:w="0" w:type="auto"/>
            <w:noWrap/>
            <w:hideMark/>
          </w:tcPr>
          <w:p w:rsidR="00C65103" w:rsidRPr="00C65103" w:rsidRDefault="00C65103" w:rsidP="0036435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r w:rsidR="00364357">
              <w:rPr>
                <w:rFonts w:ascii="Times New Roman" w:eastAsia="Times New Roman" w:hAnsi="Times New Roman" w:cs="Times New Roman"/>
                <w:sz w:val="20"/>
                <w:szCs w:val="20"/>
                <w:lang w:eastAsia="hu-HU"/>
              </w:rPr>
              <w:t>.</w:t>
            </w:r>
            <w:r w:rsidRPr="00C65103">
              <w:rPr>
                <w:rFonts w:ascii="Times New Roman" w:eastAsia="Times New Roman" w:hAnsi="Times New Roman" w:cs="Times New Roman"/>
                <w:sz w:val="20"/>
                <w:szCs w:val="20"/>
                <w:lang w:eastAsia="hu-HU"/>
              </w:rPr>
              <w:t>9</w:t>
            </w:r>
          </w:p>
        </w:tc>
        <w:tc>
          <w:tcPr>
            <w:tcW w:w="0" w:type="auto"/>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13.1</w:t>
            </w:r>
          </w:p>
        </w:tc>
      </w:tr>
    </w:tbl>
    <w:p w:rsidR="00C65103" w:rsidRPr="00C65103" w:rsidRDefault="00C65103" w:rsidP="00C65103">
      <w:pPr>
        <w:spacing w:after="0" w:line="240" w:lineRule="auto"/>
        <w:rPr>
          <w:rFonts w:ascii="Times New Roman" w:hAnsi="Times New Roman" w:cs="Times New Roman"/>
          <w:sz w:val="20"/>
          <w:szCs w:val="20"/>
        </w:rPr>
      </w:pPr>
      <w:r w:rsidRPr="00C65103">
        <w:rPr>
          <w:rFonts w:ascii="Times New Roman" w:hAnsi="Times New Roman" w:cs="Times New Roman"/>
          <w:sz w:val="20"/>
          <w:szCs w:val="20"/>
        </w:rPr>
        <w:t xml:space="preserve">Source: BelStat Science and Innovation Activity in the Republic of Belarus, Statistical Book, National Committee of the Republic of Belarus, Minsk 2015, table 6.1. and BelStat letter 20/04/2016 </w:t>
      </w:r>
    </w:p>
    <w:p w:rsidR="00C65103" w:rsidRPr="00C65103" w:rsidRDefault="00C65103" w:rsidP="00C65103">
      <w:pPr>
        <w:spacing w:after="0" w:line="240" w:lineRule="auto"/>
        <w:jc w:val="center"/>
        <w:rPr>
          <w:rFonts w:ascii="Times New Roman" w:eastAsia="Times New Roman" w:hAnsi="Times New Roman" w:cs="Times New Roman"/>
          <w:b/>
          <w:bCs/>
          <w:sz w:val="20"/>
          <w:szCs w:val="20"/>
          <w:lang w:eastAsia="hu-HU"/>
        </w:rPr>
      </w:pPr>
    </w:p>
    <w:p w:rsidR="00C65103" w:rsidRPr="00C65103" w:rsidRDefault="00C65103" w:rsidP="00697B57">
      <w:pPr>
        <w:autoSpaceDE w:val="0"/>
        <w:autoSpaceDN w:val="0"/>
        <w:spacing w:after="0" w:line="240" w:lineRule="auto"/>
        <w:jc w:val="both"/>
        <w:rPr>
          <w:rFonts w:ascii="Times New Roman" w:eastAsia="Times New Roman" w:hAnsi="Times New Roman" w:cs="Times New Roman"/>
          <w:sz w:val="24"/>
          <w:szCs w:val="24"/>
          <w:lang w:eastAsia="hu-HU"/>
        </w:rPr>
      </w:pPr>
      <w:r w:rsidRPr="00661B8F">
        <w:rPr>
          <w:rFonts w:ascii="Times New Roman" w:hAnsi="Times New Roman" w:cs="Times New Roman"/>
          <w:sz w:val="24"/>
          <w:szCs w:val="24"/>
          <w:highlight w:val="yellow"/>
        </w:rPr>
        <w:t>Table 8</w:t>
      </w:r>
      <w:r>
        <w:rPr>
          <w:rFonts w:ascii="Times New Roman" w:hAnsi="Times New Roman" w:cs="Times New Roman"/>
          <w:sz w:val="24"/>
          <w:szCs w:val="24"/>
        </w:rPr>
        <w:t xml:space="preserve"> shows indicators of innovation at the firm level in recent years. The </w:t>
      </w:r>
      <w:r w:rsidR="00EB6818">
        <w:rPr>
          <w:rFonts w:ascii="Times New Roman" w:hAnsi="Times New Roman" w:cs="Times New Roman"/>
          <w:sz w:val="24"/>
          <w:szCs w:val="24"/>
        </w:rPr>
        <w:t>n</w:t>
      </w:r>
      <w:r w:rsidRPr="00C65103">
        <w:rPr>
          <w:rFonts w:ascii="Times New Roman" w:hAnsi="Times New Roman" w:cs="Times New Roman"/>
          <w:sz w:val="24"/>
          <w:szCs w:val="24"/>
        </w:rPr>
        <w:t xml:space="preserve">umber of industrial active organisations and their share to total industrial organisations has jumped from 2010 to 2012 </w:t>
      </w:r>
      <w:r>
        <w:rPr>
          <w:rFonts w:ascii="Times New Roman" w:hAnsi="Times New Roman" w:cs="Times New Roman"/>
          <w:sz w:val="24"/>
          <w:szCs w:val="24"/>
        </w:rPr>
        <w:t xml:space="preserve">but </w:t>
      </w:r>
      <w:r w:rsidRPr="00C65103">
        <w:rPr>
          <w:rFonts w:ascii="Times New Roman" w:hAnsi="Times New Roman" w:cs="Times New Roman"/>
          <w:sz w:val="24"/>
          <w:szCs w:val="24"/>
        </w:rPr>
        <w:t xml:space="preserve">started </w:t>
      </w:r>
      <w:r>
        <w:rPr>
          <w:rFonts w:ascii="Times New Roman" w:hAnsi="Times New Roman" w:cs="Times New Roman"/>
          <w:sz w:val="24"/>
          <w:szCs w:val="24"/>
        </w:rPr>
        <w:t>to</w:t>
      </w:r>
      <w:r w:rsidRPr="00C65103">
        <w:rPr>
          <w:rFonts w:ascii="Times New Roman" w:hAnsi="Times New Roman" w:cs="Times New Roman"/>
          <w:sz w:val="24"/>
          <w:szCs w:val="24"/>
        </w:rPr>
        <w:t xml:space="preserve"> decline in 2013.</w:t>
      </w:r>
      <w:r>
        <w:rPr>
          <w:rFonts w:ascii="Times New Roman" w:hAnsi="Times New Roman" w:cs="Times New Roman"/>
          <w:sz w:val="24"/>
          <w:szCs w:val="24"/>
        </w:rPr>
        <w:t xml:space="preserve"> </w:t>
      </w:r>
      <w:r w:rsidR="00EB6818">
        <w:rPr>
          <w:rFonts w:ascii="Times New Roman" w:hAnsi="Times New Roman" w:cs="Times New Roman"/>
          <w:sz w:val="24"/>
          <w:szCs w:val="24"/>
        </w:rPr>
        <w:t>The</w:t>
      </w:r>
      <w:r w:rsidR="00EB6818" w:rsidRPr="00EB6818">
        <w:rPr>
          <w:rFonts w:ascii="Times New Roman" w:hAnsi="Times New Roman" w:cs="Times New Roman"/>
          <w:sz w:val="24"/>
          <w:szCs w:val="24"/>
        </w:rPr>
        <w:t xml:space="preserve"> share of innovative firms among industrial organization</w:t>
      </w:r>
      <w:r w:rsidR="00EB6818">
        <w:rPr>
          <w:rFonts w:ascii="Times New Roman" w:hAnsi="Times New Roman" w:cs="Times New Roman"/>
          <w:sz w:val="24"/>
          <w:szCs w:val="24"/>
        </w:rPr>
        <w:t xml:space="preserve"> showed the most impressive progress, increasing from 15.4 to 19.6 per cent.</w:t>
      </w:r>
      <w:r w:rsidR="00EB6818" w:rsidRPr="00EB6818">
        <w:rPr>
          <w:rFonts w:ascii="Times New Roman" w:hAnsi="Times New Roman" w:cs="Times New Roman"/>
          <w:sz w:val="24"/>
          <w:szCs w:val="24"/>
        </w:rPr>
        <w:t xml:space="preserve"> </w:t>
      </w:r>
      <w:r>
        <w:rPr>
          <w:rFonts w:ascii="Times New Roman" w:hAnsi="Times New Roman" w:cs="Times New Roman"/>
          <w:sz w:val="24"/>
          <w:szCs w:val="24"/>
        </w:rPr>
        <w:t>On the other hand, the s</w:t>
      </w:r>
      <w:r w:rsidRPr="00C65103">
        <w:rPr>
          <w:rFonts w:ascii="Times New Roman" w:hAnsi="Times New Roman" w:cs="Times New Roman"/>
          <w:sz w:val="24"/>
          <w:szCs w:val="24"/>
        </w:rPr>
        <w:t xml:space="preserve">hare of </w:t>
      </w:r>
      <w:r w:rsidRPr="00C65103">
        <w:rPr>
          <w:rFonts w:ascii="Times New Roman" w:eastAsia="Times New Roman" w:hAnsi="Times New Roman" w:cs="Times New Roman"/>
          <w:sz w:val="24"/>
          <w:szCs w:val="24"/>
          <w:lang w:eastAsia="hu-HU"/>
        </w:rPr>
        <w:t xml:space="preserve">shipped innovative output </w:t>
      </w:r>
      <w:r>
        <w:rPr>
          <w:rFonts w:ascii="Times New Roman" w:eastAsia="Times New Roman" w:hAnsi="Times New Roman" w:cs="Times New Roman"/>
          <w:sz w:val="24"/>
          <w:szCs w:val="24"/>
          <w:lang w:eastAsia="hu-HU"/>
        </w:rPr>
        <w:t>showed some minor fluctuations</w:t>
      </w:r>
      <w:r w:rsidR="00EB6818">
        <w:rPr>
          <w:rFonts w:ascii="Times New Roman" w:eastAsia="Times New Roman" w:hAnsi="Times New Roman" w:cs="Times New Roman"/>
          <w:sz w:val="24"/>
          <w:szCs w:val="24"/>
          <w:lang w:eastAsia="hu-HU"/>
        </w:rPr>
        <w:t xml:space="preserve"> between one and three per cent</w:t>
      </w:r>
      <w:r w:rsidR="00FA1E0A">
        <w:rPr>
          <w:rFonts w:ascii="Times New Roman" w:eastAsia="Times New Roman" w:hAnsi="Times New Roman" w:cs="Times New Roman"/>
          <w:sz w:val="24"/>
          <w:szCs w:val="24"/>
          <w:lang w:eastAsia="hu-HU"/>
        </w:rPr>
        <w:t xml:space="preserve"> above or below</w:t>
      </w:r>
      <w:r w:rsidR="00EB6818">
        <w:rPr>
          <w:rFonts w:ascii="Times New Roman" w:eastAsia="Times New Roman" w:hAnsi="Times New Roman" w:cs="Times New Roman"/>
          <w:sz w:val="24"/>
          <w:szCs w:val="24"/>
          <w:lang w:eastAsia="hu-HU"/>
        </w:rPr>
        <w:t xml:space="preserve"> the average of 14.5 per cent in 2010. </w:t>
      </w:r>
    </w:p>
    <w:p w:rsidR="00EB6818" w:rsidRDefault="00EB6818" w:rsidP="00C65103">
      <w:pPr>
        <w:spacing w:after="0" w:line="240" w:lineRule="auto"/>
        <w:ind w:firstLine="709"/>
        <w:jc w:val="both"/>
        <w:rPr>
          <w:rFonts w:ascii="Times New Roman" w:hAnsi="Times New Roman" w:cs="Times New Roman"/>
          <w:i/>
          <w:sz w:val="24"/>
          <w:szCs w:val="24"/>
          <w:lang w:eastAsia="hu-HU"/>
        </w:rPr>
      </w:pPr>
    </w:p>
    <w:p w:rsidR="00FF1329" w:rsidRDefault="00C65103" w:rsidP="00697B57">
      <w:pPr>
        <w:spacing w:after="0" w:line="240" w:lineRule="auto"/>
        <w:jc w:val="both"/>
        <w:rPr>
          <w:rFonts w:ascii="Times New Roman" w:hAnsi="Times New Roman" w:cs="Times New Roman"/>
          <w:sz w:val="24"/>
          <w:szCs w:val="24"/>
        </w:rPr>
      </w:pPr>
      <w:r w:rsidRPr="00C65103">
        <w:rPr>
          <w:rFonts w:ascii="Times New Roman" w:eastAsia="Times New Roman" w:hAnsi="Times New Roman" w:cs="Times New Roman"/>
          <w:sz w:val="24"/>
          <w:szCs w:val="20"/>
          <w:lang w:eastAsia="hu-HU"/>
        </w:rPr>
        <w:t xml:space="preserve">Innovation performance may be characterized by one output indicator: </w:t>
      </w:r>
      <w:r w:rsidRPr="00C65103">
        <w:rPr>
          <w:rFonts w:ascii="Times New Roman" w:hAnsi="Times New Roman" w:cs="Times New Roman"/>
          <w:sz w:val="24"/>
          <w:szCs w:val="24"/>
        </w:rPr>
        <w:t>the proportion of innovative output to total sales. In the industrial sector</w:t>
      </w:r>
      <w:r w:rsidR="00661B8F">
        <w:rPr>
          <w:rFonts w:ascii="Times New Roman" w:hAnsi="Times New Roman" w:cs="Times New Roman"/>
          <w:sz w:val="24"/>
          <w:szCs w:val="24"/>
        </w:rPr>
        <w:t>,</w:t>
      </w:r>
      <w:r w:rsidRPr="00C65103">
        <w:rPr>
          <w:rFonts w:ascii="Times New Roman" w:hAnsi="Times New Roman" w:cs="Times New Roman"/>
          <w:sz w:val="24"/>
          <w:szCs w:val="24"/>
        </w:rPr>
        <w:t xml:space="preserve"> </w:t>
      </w:r>
      <w:r w:rsidR="00661B8F">
        <w:rPr>
          <w:rFonts w:ascii="Times New Roman" w:hAnsi="Times New Roman" w:cs="Times New Roman"/>
          <w:sz w:val="24"/>
          <w:szCs w:val="24"/>
        </w:rPr>
        <w:t>this figure</w:t>
      </w:r>
      <w:r w:rsidRPr="00C65103">
        <w:rPr>
          <w:rFonts w:ascii="Times New Roman" w:hAnsi="Times New Roman" w:cs="Times New Roman"/>
          <w:sz w:val="24"/>
          <w:szCs w:val="24"/>
        </w:rPr>
        <w:t xml:space="preserve"> was 14</w:t>
      </w:r>
      <w:r w:rsidR="007300BB">
        <w:rPr>
          <w:rFonts w:ascii="Times New Roman" w:hAnsi="Times New Roman" w:cs="Times New Roman"/>
          <w:sz w:val="24"/>
          <w:szCs w:val="24"/>
        </w:rPr>
        <w:t xml:space="preserve"> per cent</w:t>
      </w:r>
      <w:r w:rsidRPr="00C65103">
        <w:rPr>
          <w:rFonts w:ascii="Times New Roman" w:hAnsi="Times New Roman" w:cs="Times New Roman"/>
          <w:sz w:val="24"/>
          <w:szCs w:val="24"/>
        </w:rPr>
        <w:t xml:space="preserve"> in 2014, slightly less than in previous </w:t>
      </w:r>
      <w:r w:rsidRPr="00FF1329">
        <w:rPr>
          <w:rFonts w:ascii="Times New Roman" w:hAnsi="Times New Roman" w:cs="Times New Roman"/>
          <w:sz w:val="24"/>
          <w:szCs w:val="24"/>
        </w:rPr>
        <w:t>years. A large share (60</w:t>
      </w:r>
      <w:r w:rsidR="007300BB">
        <w:rPr>
          <w:rFonts w:ascii="Times New Roman" w:hAnsi="Times New Roman" w:cs="Times New Roman"/>
          <w:sz w:val="24"/>
          <w:szCs w:val="24"/>
        </w:rPr>
        <w:t xml:space="preserve"> per cent</w:t>
      </w:r>
      <w:r w:rsidRPr="00FF1329">
        <w:rPr>
          <w:rFonts w:ascii="Times New Roman" w:hAnsi="Times New Roman" w:cs="Times New Roman"/>
          <w:sz w:val="24"/>
          <w:szCs w:val="24"/>
        </w:rPr>
        <w:t>) of innovative output was exported and 66</w:t>
      </w:r>
      <w:r w:rsidR="007300BB">
        <w:rPr>
          <w:rFonts w:ascii="Times New Roman" w:hAnsi="Times New Roman" w:cs="Times New Roman"/>
          <w:sz w:val="24"/>
          <w:szCs w:val="24"/>
        </w:rPr>
        <w:t xml:space="preserve"> per cent</w:t>
      </w:r>
      <w:r w:rsidRPr="00FF1329">
        <w:rPr>
          <w:rFonts w:ascii="Times New Roman" w:hAnsi="Times New Roman" w:cs="Times New Roman"/>
          <w:sz w:val="24"/>
          <w:szCs w:val="24"/>
        </w:rPr>
        <w:t xml:space="preserve"> of this went to CIS countries.</w:t>
      </w:r>
      <w:r w:rsidR="00697B57">
        <w:rPr>
          <w:rFonts w:ascii="Times New Roman" w:hAnsi="Times New Roman" w:cs="Times New Roman"/>
          <w:sz w:val="24"/>
          <w:szCs w:val="24"/>
        </w:rPr>
        <w:t xml:space="preserve"> </w:t>
      </w:r>
    </w:p>
    <w:p w:rsidR="007E09DA" w:rsidRPr="00C65103" w:rsidRDefault="007E09DA" w:rsidP="00697B57">
      <w:pPr>
        <w:spacing w:after="0" w:line="240" w:lineRule="auto"/>
        <w:jc w:val="both"/>
        <w:rPr>
          <w:rFonts w:ascii="Times New Roman" w:eastAsia="Times New Roman" w:hAnsi="Times New Roman" w:cs="Times New Roman"/>
          <w:sz w:val="24"/>
          <w:szCs w:val="20"/>
          <w:lang w:eastAsia="hu-HU"/>
        </w:rPr>
      </w:pPr>
    </w:p>
    <w:p w:rsidR="00C65103" w:rsidRPr="00C65103" w:rsidRDefault="00697B57" w:rsidP="00A42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 xml:space="preserve">With regards to the </w:t>
      </w:r>
      <w:r w:rsidR="00C65103" w:rsidRPr="00C65103">
        <w:rPr>
          <w:rFonts w:ascii="Times New Roman" w:eastAsia="Times New Roman" w:hAnsi="Times New Roman" w:cs="Times New Roman"/>
          <w:sz w:val="24"/>
          <w:szCs w:val="20"/>
          <w:lang w:eastAsia="hu-HU"/>
        </w:rPr>
        <w:t xml:space="preserve">sectoral characteristics </w:t>
      </w:r>
      <w:r w:rsidR="00C65103" w:rsidRPr="00C65103">
        <w:rPr>
          <w:rFonts w:ascii="Times New Roman" w:hAnsi="Times New Roman" w:cs="Times New Roman"/>
          <w:sz w:val="24"/>
          <w:szCs w:val="24"/>
        </w:rPr>
        <w:t>of the enterprises</w:t>
      </w:r>
      <w:r>
        <w:rPr>
          <w:rFonts w:ascii="Times New Roman" w:hAnsi="Times New Roman" w:cs="Times New Roman"/>
          <w:sz w:val="24"/>
          <w:szCs w:val="24"/>
        </w:rPr>
        <w:t>, h</w:t>
      </w:r>
      <w:r w:rsidR="00C65103" w:rsidRPr="00C65103">
        <w:rPr>
          <w:rFonts w:ascii="Times New Roman" w:hAnsi="Times New Roman" w:cs="Times New Roman"/>
          <w:sz w:val="24"/>
          <w:szCs w:val="24"/>
        </w:rPr>
        <w:t>igh</w:t>
      </w:r>
      <w:r w:rsidR="00661B8F">
        <w:rPr>
          <w:rFonts w:ascii="Times New Roman" w:hAnsi="Times New Roman" w:cs="Times New Roman"/>
          <w:sz w:val="24"/>
          <w:szCs w:val="24"/>
        </w:rPr>
        <w:t>-</w:t>
      </w:r>
      <w:r w:rsidR="00C65103" w:rsidRPr="00C65103">
        <w:rPr>
          <w:rFonts w:ascii="Times New Roman" w:hAnsi="Times New Roman" w:cs="Times New Roman"/>
          <w:sz w:val="24"/>
          <w:szCs w:val="24"/>
        </w:rPr>
        <w:t xml:space="preserve">tech sectors and emerging sectors are usually more innovative than other sectors. </w:t>
      </w:r>
      <w:r w:rsidR="00C65103" w:rsidRPr="00C65103">
        <w:rPr>
          <w:rFonts w:ascii="Times New Roman" w:eastAsia="Times New Roman" w:hAnsi="Times New Roman" w:cs="Times New Roman"/>
          <w:sz w:val="24"/>
          <w:szCs w:val="20"/>
          <w:lang w:eastAsia="hu-HU"/>
        </w:rPr>
        <w:t>For Belarus the ICT sector is the "innovation driver" and nuclear physics-related sectors are also good performers in novel innovation. The statistical indicators are available only for main sectors on R&amp;D and innovation (</w:t>
      </w:r>
      <w:r w:rsidR="00C65103" w:rsidRPr="00FF1329">
        <w:rPr>
          <w:rFonts w:ascii="Times New Roman" w:eastAsia="Times New Roman" w:hAnsi="Times New Roman" w:cs="Times New Roman"/>
          <w:sz w:val="24"/>
          <w:szCs w:val="20"/>
          <w:highlight w:val="yellow"/>
          <w:lang w:eastAsia="hu-HU"/>
        </w:rPr>
        <w:t>table 11</w:t>
      </w:r>
      <w:r w:rsidR="00C65103" w:rsidRPr="00C65103">
        <w:rPr>
          <w:rFonts w:ascii="Times New Roman" w:eastAsia="Times New Roman" w:hAnsi="Times New Roman" w:cs="Times New Roman"/>
          <w:sz w:val="24"/>
          <w:szCs w:val="20"/>
          <w:lang w:eastAsia="hu-HU"/>
        </w:rPr>
        <w:t>).</w:t>
      </w:r>
      <w:r w:rsidR="00661B8F" w:rsidRPr="00661B8F">
        <w:t xml:space="preserve"> </w:t>
      </w:r>
      <w:r w:rsidR="00661B8F" w:rsidRPr="00661B8F">
        <w:rPr>
          <w:rFonts w:ascii="Times New Roman" w:eastAsia="Times New Roman" w:hAnsi="Times New Roman" w:cs="Times New Roman"/>
          <w:sz w:val="24"/>
          <w:szCs w:val="20"/>
          <w:lang w:eastAsia="hu-HU"/>
        </w:rPr>
        <w:t>Among selected manufacturing industries the number of innovative firms seems stable or slightly increases over time.</w:t>
      </w:r>
    </w:p>
    <w:p w:rsidR="00C65103" w:rsidRPr="00852910" w:rsidRDefault="00C65103" w:rsidP="00C65103">
      <w:pPr>
        <w:spacing w:after="0" w:line="240" w:lineRule="auto"/>
        <w:jc w:val="center"/>
        <w:rPr>
          <w:rFonts w:ascii="Times New Roman" w:hAnsi="Times New Roman" w:cs="Times New Roman"/>
          <w:bCs/>
          <w:sz w:val="20"/>
          <w:szCs w:val="20"/>
        </w:rPr>
      </w:pPr>
    </w:p>
    <w:p w:rsidR="00C65103" w:rsidRDefault="00C65103" w:rsidP="00C65103">
      <w:pPr>
        <w:spacing w:after="0" w:line="240" w:lineRule="auto"/>
        <w:jc w:val="center"/>
        <w:rPr>
          <w:rFonts w:ascii="Times New Roman" w:hAnsi="Times New Roman" w:cs="Times New Roman"/>
          <w:bCs/>
          <w:sz w:val="24"/>
          <w:szCs w:val="20"/>
        </w:rPr>
      </w:pPr>
      <w:r w:rsidRPr="00852910">
        <w:rPr>
          <w:rFonts w:ascii="Times New Roman" w:hAnsi="Times New Roman" w:cs="Times New Roman"/>
          <w:bCs/>
          <w:sz w:val="24"/>
          <w:szCs w:val="20"/>
        </w:rPr>
        <w:t>Table 11</w:t>
      </w:r>
      <w:r w:rsidR="003F73D8" w:rsidRPr="00852910">
        <w:rPr>
          <w:rFonts w:ascii="Times New Roman" w:hAnsi="Times New Roman" w:cs="Times New Roman"/>
          <w:bCs/>
          <w:sz w:val="24"/>
          <w:szCs w:val="20"/>
        </w:rPr>
        <w:t>.</w:t>
      </w:r>
      <w:r w:rsidRPr="00852910">
        <w:rPr>
          <w:rFonts w:ascii="Times New Roman" w:hAnsi="Times New Roman" w:cs="Times New Roman"/>
          <w:bCs/>
          <w:sz w:val="24"/>
          <w:szCs w:val="20"/>
        </w:rPr>
        <w:t xml:space="preserve"> Number of innovation active industry organizations in manufacturing</w:t>
      </w:r>
      <w:r w:rsidR="00947D43" w:rsidRPr="00852910">
        <w:rPr>
          <w:rFonts w:ascii="Times New Roman" w:hAnsi="Times New Roman" w:cs="Times New Roman"/>
          <w:bCs/>
          <w:sz w:val="24"/>
          <w:szCs w:val="20"/>
        </w:rPr>
        <w:t xml:space="preserve"> and other selected</w:t>
      </w:r>
      <w:r w:rsidRPr="00852910">
        <w:rPr>
          <w:rFonts w:ascii="Times New Roman" w:hAnsi="Times New Roman" w:cs="Times New Roman"/>
          <w:bCs/>
          <w:sz w:val="24"/>
          <w:szCs w:val="20"/>
        </w:rPr>
        <w:t xml:space="preserve"> sectors (in 2010 and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2"/>
        <w:gridCol w:w="1115"/>
        <w:gridCol w:w="1152"/>
        <w:gridCol w:w="1115"/>
        <w:gridCol w:w="19"/>
        <w:gridCol w:w="851"/>
        <w:gridCol w:w="992"/>
        <w:gridCol w:w="1115"/>
        <w:gridCol w:w="19"/>
      </w:tblGrid>
      <w:tr w:rsidR="00C65103" w:rsidRPr="00C65103" w:rsidTr="00C65103">
        <w:trPr>
          <w:tblHeader/>
        </w:trPr>
        <w:tc>
          <w:tcPr>
            <w:tcW w:w="2802" w:type="dxa"/>
            <w:vMerge w:val="restart"/>
            <w:tcMar>
              <w:top w:w="0" w:type="dxa"/>
              <w:left w:w="108" w:type="dxa"/>
              <w:bottom w:w="0" w:type="dxa"/>
              <w:right w:w="108" w:type="dxa"/>
            </w:tcMar>
            <w:vAlign w:val="center"/>
          </w:tcPr>
          <w:p w:rsidR="00C65103" w:rsidRPr="00B524BA" w:rsidRDefault="00C65103" w:rsidP="00C65103">
            <w:pPr>
              <w:spacing w:before="40" w:after="40" w:line="200" w:lineRule="atLeast"/>
              <w:jc w:val="center"/>
              <w:rPr>
                <w:rFonts w:ascii="Times New Roman" w:hAnsi="Times New Roman" w:cs="Times New Roman"/>
                <w:sz w:val="20"/>
                <w:szCs w:val="20"/>
                <w:lang w:val="hu-HU"/>
              </w:rPr>
            </w:pPr>
            <w:r w:rsidRPr="00B524BA">
              <w:rPr>
                <w:rFonts w:ascii="Times New Roman" w:hAnsi="Times New Roman" w:cs="Times New Roman"/>
                <w:sz w:val="20"/>
                <w:szCs w:val="20"/>
                <w:lang w:val="hu-HU"/>
              </w:rPr>
              <w:t>Sector</w:t>
            </w:r>
          </w:p>
        </w:tc>
        <w:tc>
          <w:tcPr>
            <w:tcW w:w="6378" w:type="dxa"/>
            <w:gridSpan w:val="8"/>
            <w:tcMar>
              <w:top w:w="0" w:type="dxa"/>
              <w:left w:w="108" w:type="dxa"/>
              <w:bottom w:w="0" w:type="dxa"/>
              <w:right w:w="108" w:type="dxa"/>
            </w:tcMar>
          </w:tcPr>
          <w:p w:rsidR="00C65103" w:rsidRPr="00B524BA" w:rsidRDefault="00C65103" w:rsidP="00C65103">
            <w:pPr>
              <w:spacing w:before="40" w:after="40" w:line="200" w:lineRule="atLeast"/>
              <w:jc w:val="center"/>
              <w:rPr>
                <w:rFonts w:ascii="Times New Roman" w:hAnsi="Times New Roman" w:cs="Times New Roman"/>
                <w:sz w:val="20"/>
                <w:szCs w:val="20"/>
                <w:lang w:val="en"/>
              </w:rPr>
            </w:pPr>
            <w:r w:rsidRPr="00B524BA">
              <w:rPr>
                <w:rFonts w:ascii="Times New Roman" w:hAnsi="Times New Roman" w:cs="Times New Roman"/>
                <w:sz w:val="20"/>
                <w:szCs w:val="20"/>
                <w:lang w:val="en"/>
              </w:rPr>
              <w:t>Number of organizations</w:t>
            </w:r>
          </w:p>
        </w:tc>
      </w:tr>
      <w:tr w:rsidR="00C65103" w:rsidRPr="00C65103" w:rsidTr="00D4787E">
        <w:trPr>
          <w:trHeight w:val="529"/>
          <w:tblHeader/>
        </w:trPr>
        <w:tc>
          <w:tcPr>
            <w:tcW w:w="2802" w:type="dxa"/>
            <w:vMerge/>
            <w:tcMar>
              <w:top w:w="0" w:type="dxa"/>
              <w:left w:w="108" w:type="dxa"/>
              <w:bottom w:w="0" w:type="dxa"/>
              <w:right w:w="108" w:type="dxa"/>
            </w:tcMar>
            <w:hideMark/>
          </w:tcPr>
          <w:p w:rsidR="00C65103" w:rsidRPr="00C65103" w:rsidRDefault="00C65103" w:rsidP="00C65103">
            <w:pPr>
              <w:spacing w:before="40" w:after="40" w:line="200" w:lineRule="atLeast"/>
              <w:jc w:val="center"/>
              <w:rPr>
                <w:rFonts w:ascii="Times New Roman" w:hAnsi="Times New Roman" w:cs="Times New Roman"/>
                <w:sz w:val="20"/>
                <w:szCs w:val="20"/>
                <w:lang w:val="el-GR"/>
              </w:rPr>
            </w:pPr>
          </w:p>
        </w:tc>
        <w:tc>
          <w:tcPr>
            <w:tcW w:w="1115" w:type="dxa"/>
            <w:vMerge w:val="restart"/>
            <w:tcMar>
              <w:top w:w="0" w:type="dxa"/>
              <w:left w:w="108" w:type="dxa"/>
              <w:bottom w:w="0" w:type="dxa"/>
              <w:right w:w="108" w:type="dxa"/>
            </w:tcMar>
            <w:hideMark/>
          </w:tcPr>
          <w:p w:rsidR="00C65103" w:rsidRPr="00B524BA" w:rsidRDefault="00C65103" w:rsidP="00C65103">
            <w:pPr>
              <w:spacing w:before="40" w:after="40" w:line="200" w:lineRule="atLeast"/>
              <w:jc w:val="center"/>
              <w:rPr>
                <w:rFonts w:ascii="Times New Roman" w:hAnsi="Times New Roman" w:cs="Times New Roman"/>
                <w:sz w:val="20"/>
                <w:szCs w:val="20"/>
                <w:lang w:val="el-GR"/>
              </w:rPr>
            </w:pPr>
            <w:r w:rsidRPr="00B524BA">
              <w:rPr>
                <w:rFonts w:ascii="Times New Roman" w:hAnsi="Times New Roman" w:cs="Times New Roman"/>
                <w:sz w:val="20"/>
                <w:szCs w:val="20"/>
                <w:lang w:val="en"/>
              </w:rPr>
              <w:t>Surveyed organizati</w:t>
            </w:r>
            <w:r w:rsidRPr="00B524BA">
              <w:rPr>
                <w:rFonts w:ascii="Times New Roman" w:hAnsi="Times New Roman" w:cs="Times New Roman"/>
                <w:sz w:val="20"/>
                <w:szCs w:val="20"/>
                <w:lang w:val="en"/>
              </w:rPr>
              <w:lastRenderedPageBreak/>
              <w:t>ons, units</w:t>
            </w:r>
          </w:p>
        </w:tc>
        <w:tc>
          <w:tcPr>
            <w:tcW w:w="2286" w:type="dxa"/>
            <w:gridSpan w:val="3"/>
            <w:tcMar>
              <w:top w:w="0" w:type="dxa"/>
              <w:left w:w="108" w:type="dxa"/>
              <w:bottom w:w="0" w:type="dxa"/>
              <w:right w:w="108" w:type="dxa"/>
            </w:tcMar>
            <w:hideMark/>
          </w:tcPr>
          <w:p w:rsidR="00C65103" w:rsidRPr="00B524BA" w:rsidRDefault="00C65103" w:rsidP="00C65103">
            <w:pPr>
              <w:spacing w:before="40" w:after="40" w:line="200" w:lineRule="atLeast"/>
              <w:jc w:val="center"/>
              <w:rPr>
                <w:rFonts w:ascii="Times New Roman" w:hAnsi="Times New Roman" w:cs="Times New Roman"/>
                <w:sz w:val="20"/>
                <w:szCs w:val="20"/>
                <w:lang w:val="el-GR"/>
              </w:rPr>
            </w:pPr>
            <w:r w:rsidRPr="00B524BA">
              <w:rPr>
                <w:rFonts w:ascii="Times New Roman" w:hAnsi="Times New Roman" w:cs="Times New Roman"/>
                <w:sz w:val="20"/>
                <w:szCs w:val="20"/>
                <w:lang w:val="en"/>
              </w:rPr>
              <w:lastRenderedPageBreak/>
              <w:t xml:space="preserve">Innovation-active engaged in </w:t>
            </w:r>
          </w:p>
        </w:tc>
        <w:tc>
          <w:tcPr>
            <w:tcW w:w="851" w:type="dxa"/>
            <w:vMerge w:val="restart"/>
          </w:tcPr>
          <w:p w:rsidR="00C65103" w:rsidRPr="00B524BA" w:rsidRDefault="00C65103" w:rsidP="00C65103">
            <w:pPr>
              <w:spacing w:before="40" w:after="40" w:line="200" w:lineRule="atLeast"/>
              <w:jc w:val="center"/>
              <w:rPr>
                <w:rFonts w:ascii="Times New Roman" w:hAnsi="Times New Roman" w:cs="Times New Roman"/>
                <w:sz w:val="20"/>
                <w:szCs w:val="20"/>
                <w:lang w:val="el-GR"/>
              </w:rPr>
            </w:pPr>
            <w:r w:rsidRPr="00B524BA">
              <w:rPr>
                <w:rFonts w:ascii="Times New Roman" w:hAnsi="Times New Roman" w:cs="Times New Roman"/>
                <w:sz w:val="20"/>
                <w:szCs w:val="20"/>
                <w:lang w:val="en"/>
              </w:rPr>
              <w:t>Surveyed organizati</w:t>
            </w:r>
            <w:r w:rsidRPr="00B524BA">
              <w:rPr>
                <w:rFonts w:ascii="Times New Roman" w:hAnsi="Times New Roman" w:cs="Times New Roman"/>
                <w:sz w:val="20"/>
                <w:szCs w:val="20"/>
                <w:lang w:val="en"/>
              </w:rPr>
              <w:lastRenderedPageBreak/>
              <w:t>ons, units</w:t>
            </w:r>
          </w:p>
        </w:tc>
        <w:tc>
          <w:tcPr>
            <w:tcW w:w="2126" w:type="dxa"/>
            <w:gridSpan w:val="3"/>
          </w:tcPr>
          <w:p w:rsidR="00C65103" w:rsidRPr="00B524BA" w:rsidRDefault="00C65103" w:rsidP="00C65103">
            <w:pPr>
              <w:spacing w:before="40" w:after="40" w:line="200" w:lineRule="atLeast"/>
              <w:jc w:val="center"/>
              <w:rPr>
                <w:rFonts w:ascii="Times New Roman" w:hAnsi="Times New Roman" w:cs="Times New Roman"/>
                <w:sz w:val="20"/>
                <w:szCs w:val="20"/>
                <w:lang w:val="el-GR"/>
              </w:rPr>
            </w:pPr>
            <w:r w:rsidRPr="00B524BA">
              <w:rPr>
                <w:rFonts w:ascii="Times New Roman" w:hAnsi="Times New Roman" w:cs="Times New Roman"/>
                <w:sz w:val="20"/>
                <w:szCs w:val="20"/>
                <w:lang w:val="en"/>
              </w:rPr>
              <w:lastRenderedPageBreak/>
              <w:t xml:space="preserve">Innovation-active engaged in </w:t>
            </w:r>
          </w:p>
        </w:tc>
      </w:tr>
      <w:tr w:rsidR="00C65103" w:rsidRPr="00C65103" w:rsidTr="00D4787E">
        <w:trPr>
          <w:trHeight w:val="870"/>
          <w:tblHeader/>
        </w:trPr>
        <w:tc>
          <w:tcPr>
            <w:tcW w:w="2802" w:type="dxa"/>
            <w:vMerge/>
            <w:tcMar>
              <w:top w:w="0" w:type="dxa"/>
              <w:left w:w="108" w:type="dxa"/>
              <w:bottom w:w="0" w:type="dxa"/>
              <w:right w:w="108" w:type="dxa"/>
            </w:tcMar>
          </w:tcPr>
          <w:p w:rsidR="00C65103" w:rsidRPr="00C65103" w:rsidRDefault="00C65103" w:rsidP="00C65103">
            <w:pPr>
              <w:spacing w:before="40" w:after="40" w:line="200" w:lineRule="atLeast"/>
              <w:jc w:val="center"/>
              <w:rPr>
                <w:rFonts w:ascii="Times New Roman" w:hAnsi="Times New Roman" w:cs="Times New Roman"/>
                <w:sz w:val="20"/>
                <w:szCs w:val="20"/>
                <w:lang w:val="el-GR"/>
              </w:rPr>
            </w:pPr>
          </w:p>
        </w:tc>
        <w:tc>
          <w:tcPr>
            <w:tcW w:w="1115" w:type="dxa"/>
            <w:vMerge/>
            <w:tcMar>
              <w:top w:w="0" w:type="dxa"/>
              <w:left w:w="108" w:type="dxa"/>
              <w:bottom w:w="0" w:type="dxa"/>
              <w:right w:w="108" w:type="dxa"/>
            </w:tcMar>
          </w:tcPr>
          <w:p w:rsidR="00C65103" w:rsidRPr="00B524BA" w:rsidRDefault="00C65103" w:rsidP="00C65103">
            <w:pPr>
              <w:spacing w:before="40" w:after="40" w:line="200" w:lineRule="atLeast"/>
              <w:jc w:val="center"/>
              <w:rPr>
                <w:rFonts w:ascii="Times New Roman" w:hAnsi="Times New Roman" w:cs="Times New Roman"/>
                <w:sz w:val="20"/>
                <w:szCs w:val="20"/>
                <w:lang w:val="en"/>
              </w:rPr>
            </w:pPr>
          </w:p>
        </w:tc>
        <w:tc>
          <w:tcPr>
            <w:tcW w:w="1152" w:type="dxa"/>
            <w:tcMar>
              <w:top w:w="0" w:type="dxa"/>
              <w:left w:w="108" w:type="dxa"/>
              <w:bottom w:w="0" w:type="dxa"/>
              <w:right w:w="108" w:type="dxa"/>
            </w:tcMar>
          </w:tcPr>
          <w:p w:rsidR="00C65103" w:rsidRPr="00B524BA" w:rsidRDefault="00C65103" w:rsidP="00C65103">
            <w:pPr>
              <w:spacing w:before="40" w:after="40" w:line="200" w:lineRule="atLeast"/>
              <w:jc w:val="center"/>
              <w:rPr>
                <w:rFonts w:ascii="Times New Roman" w:hAnsi="Times New Roman" w:cs="Times New Roman"/>
                <w:sz w:val="20"/>
                <w:szCs w:val="20"/>
                <w:lang w:val="en"/>
              </w:rPr>
            </w:pPr>
            <w:r w:rsidRPr="00B524BA">
              <w:rPr>
                <w:rFonts w:ascii="Times New Roman" w:hAnsi="Times New Roman" w:cs="Times New Roman"/>
                <w:sz w:val="20"/>
                <w:szCs w:val="20"/>
                <w:lang w:val="en"/>
              </w:rPr>
              <w:t>technological costs (product and/or process) innovation</w:t>
            </w:r>
          </w:p>
        </w:tc>
        <w:tc>
          <w:tcPr>
            <w:tcW w:w="1134" w:type="dxa"/>
            <w:gridSpan w:val="2"/>
            <w:tcMar>
              <w:top w:w="0" w:type="dxa"/>
              <w:left w:w="108" w:type="dxa"/>
              <w:bottom w:w="0" w:type="dxa"/>
              <w:right w:w="108" w:type="dxa"/>
            </w:tcMar>
          </w:tcPr>
          <w:p w:rsidR="00C65103" w:rsidRPr="00B524BA" w:rsidRDefault="00C65103" w:rsidP="00C65103">
            <w:pPr>
              <w:spacing w:before="40" w:after="40" w:line="200" w:lineRule="atLeast"/>
              <w:jc w:val="center"/>
              <w:rPr>
                <w:rFonts w:ascii="Times New Roman" w:hAnsi="Times New Roman" w:cs="Times New Roman"/>
                <w:sz w:val="20"/>
                <w:szCs w:val="20"/>
                <w:lang w:val="en"/>
              </w:rPr>
            </w:pPr>
            <w:r w:rsidRPr="00B524BA">
              <w:rPr>
                <w:rFonts w:ascii="Times New Roman" w:hAnsi="Times New Roman" w:cs="Times New Roman"/>
                <w:sz w:val="20"/>
                <w:szCs w:val="20"/>
                <w:lang w:val="en"/>
              </w:rPr>
              <w:t>technological, organizational costs, marketing innovations</w:t>
            </w:r>
          </w:p>
        </w:tc>
        <w:tc>
          <w:tcPr>
            <w:tcW w:w="851" w:type="dxa"/>
            <w:vMerge/>
          </w:tcPr>
          <w:p w:rsidR="00C65103" w:rsidRPr="00B524BA" w:rsidRDefault="00C65103" w:rsidP="00C65103">
            <w:pPr>
              <w:spacing w:before="40" w:after="40" w:line="200" w:lineRule="atLeast"/>
              <w:jc w:val="center"/>
              <w:rPr>
                <w:rFonts w:ascii="Times New Roman" w:hAnsi="Times New Roman" w:cs="Times New Roman"/>
                <w:sz w:val="20"/>
                <w:szCs w:val="20"/>
                <w:lang w:val="en"/>
              </w:rPr>
            </w:pPr>
          </w:p>
        </w:tc>
        <w:tc>
          <w:tcPr>
            <w:tcW w:w="992" w:type="dxa"/>
          </w:tcPr>
          <w:p w:rsidR="00C65103" w:rsidRPr="00B524BA" w:rsidRDefault="00C65103" w:rsidP="00C65103">
            <w:pPr>
              <w:spacing w:before="40" w:after="40" w:line="200" w:lineRule="atLeast"/>
              <w:jc w:val="center"/>
              <w:rPr>
                <w:rFonts w:ascii="Times New Roman" w:hAnsi="Times New Roman" w:cs="Times New Roman"/>
                <w:sz w:val="20"/>
                <w:szCs w:val="20"/>
                <w:lang w:val="en"/>
              </w:rPr>
            </w:pPr>
            <w:r w:rsidRPr="00B524BA">
              <w:rPr>
                <w:rFonts w:ascii="Times New Roman" w:hAnsi="Times New Roman" w:cs="Times New Roman"/>
                <w:sz w:val="20"/>
                <w:szCs w:val="20"/>
                <w:lang w:val="en"/>
              </w:rPr>
              <w:t>technological costs (product and/or process) innovation</w:t>
            </w:r>
          </w:p>
        </w:tc>
        <w:tc>
          <w:tcPr>
            <w:tcW w:w="1134" w:type="dxa"/>
            <w:gridSpan w:val="2"/>
          </w:tcPr>
          <w:p w:rsidR="00C65103" w:rsidRPr="00B524BA" w:rsidRDefault="00C65103" w:rsidP="00C65103">
            <w:pPr>
              <w:spacing w:before="40" w:after="40" w:line="200" w:lineRule="atLeast"/>
              <w:jc w:val="center"/>
              <w:rPr>
                <w:rFonts w:ascii="Times New Roman" w:hAnsi="Times New Roman" w:cs="Times New Roman"/>
                <w:sz w:val="20"/>
                <w:szCs w:val="20"/>
                <w:lang w:val="en"/>
              </w:rPr>
            </w:pPr>
            <w:r w:rsidRPr="00B524BA">
              <w:rPr>
                <w:rFonts w:ascii="Times New Roman" w:hAnsi="Times New Roman" w:cs="Times New Roman"/>
                <w:sz w:val="20"/>
                <w:szCs w:val="20"/>
                <w:lang w:val="en"/>
              </w:rPr>
              <w:t>technological, organizational costs, marketing innovations</w:t>
            </w:r>
          </w:p>
        </w:tc>
      </w:tr>
      <w:tr w:rsidR="00C65103" w:rsidRPr="00C65103" w:rsidTr="00C65103">
        <w:trPr>
          <w:gridAfter w:val="1"/>
          <w:wAfter w:w="19" w:type="dxa"/>
        </w:trPr>
        <w:tc>
          <w:tcPr>
            <w:tcW w:w="2802" w:type="dxa"/>
            <w:vMerge/>
            <w:tcMar>
              <w:top w:w="0" w:type="dxa"/>
              <w:left w:w="108" w:type="dxa"/>
              <w:bottom w:w="0" w:type="dxa"/>
              <w:right w:w="108" w:type="dxa"/>
            </w:tcMar>
            <w:hideMark/>
          </w:tcPr>
          <w:p w:rsidR="00C65103" w:rsidRPr="00C65103" w:rsidRDefault="00C65103" w:rsidP="00C65103">
            <w:pPr>
              <w:spacing w:before="120" w:after="60" w:line="240" w:lineRule="auto"/>
              <w:ind w:right="-144" w:hanging="142"/>
              <w:jc w:val="center"/>
              <w:rPr>
                <w:rFonts w:ascii="Times New Roman" w:hAnsi="Times New Roman" w:cs="Times New Roman"/>
                <w:sz w:val="20"/>
                <w:szCs w:val="20"/>
                <w:lang w:val="el-GR"/>
              </w:rPr>
            </w:pPr>
          </w:p>
        </w:tc>
        <w:tc>
          <w:tcPr>
            <w:tcW w:w="3382" w:type="dxa"/>
            <w:gridSpan w:val="3"/>
          </w:tcPr>
          <w:p w:rsidR="00C65103" w:rsidRPr="00B524BA" w:rsidRDefault="00C65103" w:rsidP="00C65103">
            <w:pPr>
              <w:spacing w:before="120" w:after="60" w:line="240" w:lineRule="auto"/>
              <w:ind w:right="-144" w:hanging="142"/>
              <w:jc w:val="center"/>
              <w:rPr>
                <w:rFonts w:ascii="Times New Roman" w:hAnsi="Times New Roman" w:cs="Times New Roman"/>
                <w:i/>
                <w:sz w:val="20"/>
                <w:szCs w:val="20"/>
                <w:lang w:val="el-GR"/>
              </w:rPr>
            </w:pPr>
            <w:r w:rsidRPr="00B524BA">
              <w:rPr>
                <w:rFonts w:ascii="Times New Roman" w:hAnsi="Times New Roman" w:cs="Times New Roman"/>
                <w:bCs/>
                <w:i/>
                <w:sz w:val="20"/>
                <w:szCs w:val="20"/>
                <w:lang w:val="en"/>
              </w:rPr>
              <w:t xml:space="preserve">2010 </w:t>
            </w:r>
          </w:p>
        </w:tc>
        <w:tc>
          <w:tcPr>
            <w:tcW w:w="2977" w:type="dxa"/>
            <w:gridSpan w:val="4"/>
          </w:tcPr>
          <w:p w:rsidR="00C65103" w:rsidRPr="00B524BA" w:rsidRDefault="00C65103" w:rsidP="00C65103">
            <w:pPr>
              <w:spacing w:before="120" w:after="60" w:line="240" w:lineRule="auto"/>
              <w:ind w:right="-144" w:hanging="142"/>
              <w:jc w:val="center"/>
              <w:rPr>
                <w:rFonts w:ascii="Times New Roman" w:hAnsi="Times New Roman" w:cs="Times New Roman"/>
                <w:i/>
                <w:sz w:val="20"/>
                <w:szCs w:val="20"/>
                <w:lang w:val="el-GR"/>
              </w:rPr>
            </w:pPr>
            <w:r w:rsidRPr="00B524BA">
              <w:rPr>
                <w:rFonts w:ascii="Times New Roman" w:hAnsi="Times New Roman" w:cs="Times New Roman"/>
                <w:i/>
                <w:sz w:val="20"/>
                <w:szCs w:val="20"/>
                <w:lang w:val="hu-HU"/>
              </w:rPr>
              <w:t xml:space="preserve">2015 </w:t>
            </w:r>
          </w:p>
        </w:tc>
      </w:tr>
      <w:tr w:rsidR="00C65103" w:rsidRPr="00C65103" w:rsidTr="00C65103">
        <w:tc>
          <w:tcPr>
            <w:tcW w:w="2802" w:type="dxa"/>
            <w:tcMar>
              <w:top w:w="0" w:type="dxa"/>
              <w:left w:w="108" w:type="dxa"/>
              <w:bottom w:w="0" w:type="dxa"/>
              <w:right w:w="108" w:type="dxa"/>
            </w:tcMar>
            <w:hideMark/>
          </w:tcPr>
          <w:p w:rsidR="00C65103" w:rsidRPr="00C65103" w:rsidRDefault="00C65103" w:rsidP="00C65103">
            <w:pPr>
              <w:spacing w:before="80" w:after="20" w:line="240" w:lineRule="auto"/>
              <w:rPr>
                <w:rFonts w:ascii="Times New Roman" w:hAnsi="Times New Roman" w:cs="Times New Roman"/>
                <w:sz w:val="20"/>
                <w:szCs w:val="20"/>
                <w:lang w:val="el-GR"/>
              </w:rPr>
            </w:pPr>
            <w:r w:rsidRPr="00C65103">
              <w:rPr>
                <w:rFonts w:ascii="Times New Roman" w:hAnsi="Times New Roman" w:cs="Times New Roman"/>
                <w:sz w:val="20"/>
                <w:szCs w:val="20"/>
                <w:lang w:val="en"/>
              </w:rPr>
              <w:t>Industry total</w:t>
            </w:r>
          </w:p>
        </w:tc>
        <w:tc>
          <w:tcPr>
            <w:tcW w:w="1115"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2103</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324</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381</w:t>
            </w:r>
          </w:p>
        </w:tc>
        <w:tc>
          <w:tcPr>
            <w:tcW w:w="851" w:type="dxa"/>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1745</w:t>
            </w:r>
          </w:p>
        </w:tc>
        <w:tc>
          <w:tcPr>
            <w:tcW w:w="992" w:type="dxa"/>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342</w:t>
            </w:r>
          </w:p>
        </w:tc>
        <w:tc>
          <w:tcPr>
            <w:tcW w:w="1134" w:type="dxa"/>
            <w:gridSpan w:val="2"/>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369</w:t>
            </w:r>
          </w:p>
        </w:tc>
      </w:tr>
      <w:tr w:rsidR="00C65103" w:rsidRPr="00C65103" w:rsidTr="00C65103">
        <w:tc>
          <w:tcPr>
            <w:tcW w:w="2802" w:type="dxa"/>
            <w:tcMar>
              <w:top w:w="0" w:type="dxa"/>
              <w:left w:w="108" w:type="dxa"/>
              <w:bottom w:w="0" w:type="dxa"/>
              <w:right w:w="108" w:type="dxa"/>
            </w:tcMar>
          </w:tcPr>
          <w:p w:rsidR="00C65103" w:rsidRPr="00C65103" w:rsidRDefault="00C65103" w:rsidP="00C65103">
            <w:pPr>
              <w:spacing w:before="40" w:after="20" w:line="220" w:lineRule="atLeast"/>
              <w:ind w:left="113"/>
              <w:rPr>
                <w:rFonts w:ascii="Times New Roman" w:hAnsi="Times New Roman" w:cs="Times New Roman"/>
                <w:sz w:val="20"/>
                <w:szCs w:val="20"/>
                <w:lang w:val="el-GR"/>
              </w:rPr>
            </w:pPr>
            <w:r w:rsidRPr="00C65103">
              <w:rPr>
                <w:rFonts w:ascii="Times New Roman" w:hAnsi="Times New Roman" w:cs="Times New Roman"/>
                <w:sz w:val="20"/>
                <w:szCs w:val="20"/>
                <w:lang w:val="en"/>
              </w:rPr>
              <w:t>mining industry</w:t>
            </w:r>
          </w:p>
        </w:tc>
        <w:tc>
          <w:tcPr>
            <w:tcW w:w="1115" w:type="dxa"/>
            <w:tcMar>
              <w:top w:w="0" w:type="dxa"/>
              <w:left w:w="108" w:type="dxa"/>
              <w:bottom w:w="0" w:type="dxa"/>
              <w:right w:w="108" w:type="dxa"/>
            </w:tcMar>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32</w:t>
            </w:r>
          </w:p>
        </w:tc>
        <w:tc>
          <w:tcPr>
            <w:tcW w:w="1152" w:type="dxa"/>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5</w:t>
            </w:r>
          </w:p>
        </w:tc>
        <w:tc>
          <w:tcPr>
            <w:tcW w:w="1134" w:type="dxa"/>
            <w:gridSpan w:val="2"/>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5</w:t>
            </w:r>
          </w:p>
        </w:tc>
        <w:tc>
          <w:tcPr>
            <w:tcW w:w="851" w:type="dxa"/>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31</w:t>
            </w:r>
          </w:p>
        </w:tc>
        <w:tc>
          <w:tcPr>
            <w:tcW w:w="992" w:type="dxa"/>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w:t>
            </w:r>
          </w:p>
        </w:tc>
        <w:tc>
          <w:tcPr>
            <w:tcW w:w="1134" w:type="dxa"/>
            <w:gridSpan w:val="2"/>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4</w:t>
            </w:r>
          </w:p>
        </w:tc>
      </w:tr>
      <w:tr w:rsidR="00C65103" w:rsidRPr="00C65103" w:rsidTr="00C65103">
        <w:tc>
          <w:tcPr>
            <w:tcW w:w="2802" w:type="dxa"/>
            <w:tcMar>
              <w:top w:w="0" w:type="dxa"/>
              <w:left w:w="108" w:type="dxa"/>
              <w:bottom w:w="0" w:type="dxa"/>
              <w:right w:w="108" w:type="dxa"/>
            </w:tcMar>
          </w:tcPr>
          <w:p w:rsidR="00C65103" w:rsidRPr="00C65103" w:rsidRDefault="00C65103" w:rsidP="00C65103">
            <w:pPr>
              <w:spacing w:before="40" w:after="20" w:line="220" w:lineRule="atLeast"/>
              <w:ind w:left="113"/>
              <w:rPr>
                <w:rFonts w:ascii="Times New Roman" w:hAnsi="Times New Roman" w:cs="Times New Roman"/>
                <w:sz w:val="20"/>
                <w:szCs w:val="20"/>
                <w:lang w:val="el-GR"/>
              </w:rPr>
            </w:pPr>
            <w:r w:rsidRPr="00C65103">
              <w:rPr>
                <w:rFonts w:ascii="Times New Roman" w:hAnsi="Times New Roman" w:cs="Times New Roman"/>
                <w:sz w:val="20"/>
                <w:szCs w:val="20"/>
                <w:lang w:val="en"/>
              </w:rPr>
              <w:t>production and distribution of electricity, gas and water</w:t>
            </w:r>
          </w:p>
        </w:tc>
        <w:tc>
          <w:tcPr>
            <w:tcW w:w="1115" w:type="dxa"/>
            <w:tcMar>
              <w:top w:w="0" w:type="dxa"/>
              <w:left w:w="108" w:type="dxa"/>
              <w:bottom w:w="0" w:type="dxa"/>
              <w:right w:w="108" w:type="dxa"/>
            </w:tcMar>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191</w:t>
            </w:r>
          </w:p>
        </w:tc>
        <w:tc>
          <w:tcPr>
            <w:tcW w:w="1152" w:type="dxa"/>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6</w:t>
            </w:r>
          </w:p>
        </w:tc>
        <w:tc>
          <w:tcPr>
            <w:tcW w:w="1134" w:type="dxa"/>
            <w:gridSpan w:val="2"/>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9</w:t>
            </w:r>
          </w:p>
        </w:tc>
        <w:tc>
          <w:tcPr>
            <w:tcW w:w="851" w:type="dxa"/>
            <w:vAlign w:val="center"/>
          </w:tcPr>
          <w:p w:rsidR="00C65103" w:rsidRPr="00C65103" w:rsidRDefault="00C65103" w:rsidP="00C65103">
            <w:pPr>
              <w:spacing w:before="60" w:after="40" w:line="200" w:lineRule="atLeast"/>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180</w:t>
            </w:r>
          </w:p>
        </w:tc>
        <w:tc>
          <w:tcPr>
            <w:tcW w:w="992" w:type="dxa"/>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9</w:t>
            </w:r>
          </w:p>
        </w:tc>
        <w:tc>
          <w:tcPr>
            <w:tcW w:w="1134" w:type="dxa"/>
            <w:gridSpan w:val="2"/>
            <w:vAlign w:val="center"/>
          </w:tcPr>
          <w:p w:rsidR="00C65103" w:rsidRPr="00C65103" w:rsidRDefault="00C65103" w:rsidP="00C65103">
            <w:pPr>
              <w:spacing w:before="60" w:after="40" w:line="200" w:lineRule="atLeast"/>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9</w:t>
            </w:r>
          </w:p>
        </w:tc>
      </w:tr>
      <w:tr w:rsidR="00C65103" w:rsidRPr="00C65103" w:rsidTr="00C65103">
        <w:tc>
          <w:tcPr>
            <w:tcW w:w="2802" w:type="dxa"/>
            <w:tcMar>
              <w:top w:w="0" w:type="dxa"/>
              <w:left w:w="108" w:type="dxa"/>
              <w:bottom w:w="0" w:type="dxa"/>
              <w:right w:w="108" w:type="dxa"/>
            </w:tcMar>
          </w:tcPr>
          <w:p w:rsidR="00C65103" w:rsidRPr="00C65103" w:rsidRDefault="00C65103" w:rsidP="00C65103">
            <w:pPr>
              <w:spacing w:before="40" w:after="20" w:line="220" w:lineRule="atLeast"/>
              <w:ind w:left="113"/>
              <w:rPr>
                <w:rFonts w:ascii="Times New Roman" w:hAnsi="Times New Roman" w:cs="Times New Roman"/>
                <w:sz w:val="20"/>
                <w:szCs w:val="20"/>
                <w:lang w:val="el-GR"/>
              </w:rPr>
            </w:pPr>
            <w:r w:rsidRPr="00C65103">
              <w:rPr>
                <w:rFonts w:ascii="Times New Roman" w:hAnsi="Times New Roman" w:cs="Times New Roman"/>
                <w:sz w:val="20"/>
                <w:szCs w:val="20"/>
                <w:lang w:val="en"/>
              </w:rPr>
              <w:t>processing</w:t>
            </w:r>
          </w:p>
        </w:tc>
        <w:tc>
          <w:tcPr>
            <w:tcW w:w="1115" w:type="dxa"/>
            <w:tcMar>
              <w:top w:w="0" w:type="dxa"/>
              <w:left w:w="108" w:type="dxa"/>
              <w:bottom w:w="0" w:type="dxa"/>
              <w:right w:w="108" w:type="dxa"/>
            </w:tcMar>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1880</w:t>
            </w:r>
          </w:p>
        </w:tc>
        <w:tc>
          <w:tcPr>
            <w:tcW w:w="1152" w:type="dxa"/>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313</w:t>
            </w:r>
          </w:p>
        </w:tc>
        <w:tc>
          <w:tcPr>
            <w:tcW w:w="1134" w:type="dxa"/>
            <w:gridSpan w:val="2"/>
            <w:tcMar>
              <w:top w:w="0" w:type="dxa"/>
              <w:left w:w="108" w:type="dxa"/>
              <w:bottom w:w="0" w:type="dxa"/>
              <w:right w:w="108" w:type="dxa"/>
            </w:tcMar>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367</w:t>
            </w:r>
          </w:p>
        </w:tc>
        <w:tc>
          <w:tcPr>
            <w:tcW w:w="851" w:type="dxa"/>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1534</w:t>
            </w:r>
          </w:p>
        </w:tc>
        <w:tc>
          <w:tcPr>
            <w:tcW w:w="992" w:type="dxa"/>
            <w:vAlign w:val="center"/>
          </w:tcPr>
          <w:p w:rsidR="00C65103" w:rsidRPr="00C65103" w:rsidRDefault="00C65103" w:rsidP="00C65103">
            <w:pPr>
              <w:spacing w:before="80" w:after="20" w:line="240" w:lineRule="auto"/>
              <w:ind w:right="157"/>
              <w:jc w:val="right"/>
              <w:rPr>
                <w:rFonts w:ascii="Times New Roman" w:hAnsi="Times New Roman" w:cs="Times New Roman"/>
                <w:sz w:val="20"/>
                <w:szCs w:val="20"/>
                <w:lang w:val="en"/>
              </w:rPr>
            </w:pPr>
            <w:r w:rsidRPr="00C65103">
              <w:rPr>
                <w:rFonts w:ascii="Times New Roman" w:hAnsi="Times New Roman" w:cs="Times New Roman"/>
                <w:sz w:val="20"/>
                <w:szCs w:val="20"/>
                <w:lang w:val="en"/>
              </w:rPr>
              <w:t>330</w:t>
            </w:r>
          </w:p>
        </w:tc>
        <w:tc>
          <w:tcPr>
            <w:tcW w:w="1134" w:type="dxa"/>
            <w:gridSpan w:val="2"/>
            <w:vAlign w:val="center"/>
          </w:tcPr>
          <w:p w:rsidR="00C65103" w:rsidRPr="00C65103" w:rsidRDefault="00C65103" w:rsidP="00C65103">
            <w:pPr>
              <w:spacing w:before="40" w:after="20" w:line="240" w:lineRule="auto"/>
              <w:ind w:right="157"/>
              <w:jc w:val="right"/>
              <w:rPr>
                <w:rFonts w:ascii="Times New Roman" w:hAnsi="Times New Roman" w:cs="Times New Roman"/>
                <w:sz w:val="20"/>
                <w:szCs w:val="20"/>
                <w:lang w:val="el-GR"/>
              </w:rPr>
            </w:pPr>
            <w:r w:rsidRPr="00C65103">
              <w:rPr>
                <w:rFonts w:ascii="Times New Roman" w:hAnsi="Times New Roman" w:cs="Times New Roman"/>
                <w:sz w:val="20"/>
                <w:szCs w:val="20"/>
                <w:lang w:val="en"/>
              </w:rPr>
              <w:t>356</w:t>
            </w:r>
          </w:p>
        </w:tc>
      </w:tr>
      <w:tr w:rsidR="00C65103" w:rsidRPr="00C65103" w:rsidTr="00C65103">
        <w:trPr>
          <w:gridAfter w:val="1"/>
          <w:wAfter w:w="19" w:type="dxa"/>
        </w:trPr>
        <w:tc>
          <w:tcPr>
            <w:tcW w:w="9161" w:type="dxa"/>
            <w:gridSpan w:val="8"/>
            <w:tcMar>
              <w:top w:w="0" w:type="dxa"/>
              <w:left w:w="108" w:type="dxa"/>
              <w:bottom w:w="0" w:type="dxa"/>
              <w:right w:w="108" w:type="dxa"/>
            </w:tcMar>
          </w:tcPr>
          <w:p w:rsidR="00C65103" w:rsidRPr="00C65103" w:rsidRDefault="00C65103" w:rsidP="00C65103">
            <w:pPr>
              <w:spacing w:before="60" w:after="40" w:line="200" w:lineRule="atLeast"/>
              <w:ind w:right="707"/>
              <w:jc w:val="center"/>
              <w:rPr>
                <w:rFonts w:ascii="Times New Roman" w:hAnsi="Times New Roman" w:cs="Times New Roman"/>
                <w:color w:val="FF0000"/>
                <w:sz w:val="20"/>
                <w:szCs w:val="20"/>
                <w:lang w:val="en"/>
              </w:rPr>
            </w:pPr>
            <w:r w:rsidRPr="00C65103">
              <w:rPr>
                <w:rFonts w:ascii="Times New Roman" w:hAnsi="Times New Roman" w:cs="Times New Roman"/>
                <w:sz w:val="20"/>
                <w:szCs w:val="20"/>
                <w:lang w:val="en"/>
              </w:rPr>
              <w:t>Selected high-tech and medium-tech  industries</w:t>
            </w:r>
          </w:p>
        </w:tc>
      </w:tr>
      <w:tr w:rsidR="00C65103" w:rsidRPr="00C65103" w:rsidTr="00C65103">
        <w:tc>
          <w:tcPr>
            <w:tcW w:w="2802" w:type="dxa"/>
            <w:tcMar>
              <w:top w:w="0" w:type="dxa"/>
              <w:left w:w="108" w:type="dxa"/>
              <w:bottom w:w="0" w:type="dxa"/>
              <w:right w:w="108" w:type="dxa"/>
            </w:tcMar>
            <w:hideMark/>
          </w:tcPr>
          <w:p w:rsidR="00C65103" w:rsidRPr="00C65103" w:rsidRDefault="00C65103" w:rsidP="007D6F1B">
            <w:pPr>
              <w:numPr>
                <w:ilvl w:val="0"/>
                <w:numId w:val="4"/>
              </w:numPr>
              <w:spacing w:before="40" w:after="20" w:line="220" w:lineRule="atLeast"/>
              <w:contextualSpacing/>
              <w:rPr>
                <w:rFonts w:ascii="Times New Roman" w:hAnsi="Times New Roman" w:cs="Times New Roman"/>
                <w:sz w:val="20"/>
                <w:szCs w:val="20"/>
                <w:lang w:val="en"/>
              </w:rPr>
            </w:pPr>
            <w:r w:rsidRPr="00C65103">
              <w:rPr>
                <w:rFonts w:ascii="Times New Roman" w:hAnsi="Times New Roman" w:cs="Times New Roman"/>
                <w:sz w:val="20"/>
                <w:szCs w:val="20"/>
                <w:lang w:val="en"/>
              </w:rPr>
              <w:t>chemical production</w:t>
            </w:r>
          </w:p>
        </w:tc>
        <w:tc>
          <w:tcPr>
            <w:tcW w:w="1115" w:type="dxa"/>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54</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24</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27</w:t>
            </w:r>
          </w:p>
        </w:tc>
        <w:tc>
          <w:tcPr>
            <w:tcW w:w="851" w:type="dxa"/>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51</w:t>
            </w:r>
          </w:p>
        </w:tc>
        <w:tc>
          <w:tcPr>
            <w:tcW w:w="992" w:type="dxa"/>
            <w:vAlign w:val="center"/>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27</w:t>
            </w:r>
          </w:p>
        </w:tc>
        <w:tc>
          <w:tcPr>
            <w:tcW w:w="1134" w:type="dxa"/>
            <w:gridSpan w:val="2"/>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28</w:t>
            </w:r>
          </w:p>
        </w:tc>
      </w:tr>
      <w:tr w:rsidR="00C65103" w:rsidRPr="00C65103" w:rsidTr="00C65103">
        <w:tc>
          <w:tcPr>
            <w:tcW w:w="2802" w:type="dxa"/>
            <w:tcMar>
              <w:top w:w="0" w:type="dxa"/>
              <w:left w:w="108" w:type="dxa"/>
              <w:bottom w:w="0" w:type="dxa"/>
              <w:right w:w="108" w:type="dxa"/>
            </w:tcMar>
            <w:hideMark/>
          </w:tcPr>
          <w:p w:rsidR="00C65103" w:rsidRPr="00C65103" w:rsidRDefault="00C65103" w:rsidP="007D6F1B">
            <w:pPr>
              <w:numPr>
                <w:ilvl w:val="1"/>
                <w:numId w:val="4"/>
              </w:numPr>
              <w:spacing w:before="40" w:after="20" w:line="220" w:lineRule="atLeast"/>
              <w:contextualSpacing/>
              <w:rPr>
                <w:rFonts w:ascii="Times New Roman" w:hAnsi="Times New Roman" w:cs="Times New Roman"/>
                <w:sz w:val="20"/>
                <w:szCs w:val="20"/>
                <w:lang w:val="en"/>
              </w:rPr>
            </w:pPr>
            <w:r w:rsidRPr="00C65103">
              <w:rPr>
                <w:rFonts w:ascii="Times New Roman" w:hAnsi="Times New Roman" w:cs="Times New Roman"/>
                <w:sz w:val="20"/>
                <w:szCs w:val="20"/>
                <w:lang w:val="en"/>
              </w:rPr>
              <w:t>manufacturing of pharmaceutical products</w:t>
            </w:r>
          </w:p>
        </w:tc>
        <w:tc>
          <w:tcPr>
            <w:tcW w:w="1115" w:type="dxa"/>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19</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10</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10</w:t>
            </w:r>
          </w:p>
        </w:tc>
        <w:tc>
          <w:tcPr>
            <w:tcW w:w="851" w:type="dxa"/>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16</w:t>
            </w:r>
          </w:p>
        </w:tc>
        <w:tc>
          <w:tcPr>
            <w:tcW w:w="992" w:type="dxa"/>
            <w:vAlign w:val="center"/>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14</w:t>
            </w:r>
          </w:p>
        </w:tc>
        <w:tc>
          <w:tcPr>
            <w:tcW w:w="1134" w:type="dxa"/>
            <w:gridSpan w:val="2"/>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14</w:t>
            </w:r>
          </w:p>
        </w:tc>
      </w:tr>
      <w:tr w:rsidR="00C65103" w:rsidRPr="00C65103" w:rsidTr="00C65103">
        <w:tc>
          <w:tcPr>
            <w:tcW w:w="2802" w:type="dxa"/>
            <w:tcMar>
              <w:top w:w="0" w:type="dxa"/>
              <w:left w:w="108" w:type="dxa"/>
              <w:bottom w:w="0" w:type="dxa"/>
              <w:right w:w="108" w:type="dxa"/>
            </w:tcMar>
            <w:hideMark/>
          </w:tcPr>
          <w:p w:rsidR="00C65103" w:rsidRPr="00C65103" w:rsidRDefault="00C65103" w:rsidP="007D6F1B">
            <w:pPr>
              <w:numPr>
                <w:ilvl w:val="0"/>
                <w:numId w:val="4"/>
              </w:numPr>
              <w:spacing w:before="40" w:after="20" w:line="220" w:lineRule="atLeast"/>
              <w:contextualSpacing/>
              <w:rPr>
                <w:rFonts w:ascii="Times New Roman" w:hAnsi="Times New Roman" w:cs="Times New Roman"/>
                <w:sz w:val="20"/>
                <w:szCs w:val="20"/>
                <w:lang w:val="en"/>
              </w:rPr>
            </w:pPr>
            <w:r w:rsidRPr="00C65103">
              <w:rPr>
                <w:rFonts w:ascii="Times New Roman" w:hAnsi="Times New Roman" w:cs="Times New Roman"/>
                <w:sz w:val="20"/>
                <w:szCs w:val="20"/>
                <w:lang w:val="en"/>
              </w:rPr>
              <w:t>manufacture of machinery and equipment</w:t>
            </w:r>
          </w:p>
        </w:tc>
        <w:tc>
          <w:tcPr>
            <w:tcW w:w="1115" w:type="dxa"/>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220</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72</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75</w:t>
            </w:r>
          </w:p>
        </w:tc>
        <w:tc>
          <w:tcPr>
            <w:tcW w:w="851" w:type="dxa"/>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208</w:t>
            </w:r>
          </w:p>
        </w:tc>
        <w:tc>
          <w:tcPr>
            <w:tcW w:w="992" w:type="dxa"/>
            <w:vAlign w:val="center"/>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73</w:t>
            </w:r>
          </w:p>
        </w:tc>
        <w:tc>
          <w:tcPr>
            <w:tcW w:w="1134" w:type="dxa"/>
            <w:gridSpan w:val="2"/>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75</w:t>
            </w:r>
          </w:p>
        </w:tc>
      </w:tr>
      <w:tr w:rsidR="00C65103" w:rsidRPr="00C65103" w:rsidTr="00C65103">
        <w:tc>
          <w:tcPr>
            <w:tcW w:w="2802" w:type="dxa"/>
            <w:tcMar>
              <w:top w:w="0" w:type="dxa"/>
              <w:left w:w="108" w:type="dxa"/>
              <w:bottom w:w="0" w:type="dxa"/>
              <w:right w:w="108" w:type="dxa"/>
            </w:tcMar>
            <w:hideMark/>
          </w:tcPr>
          <w:p w:rsidR="00C65103" w:rsidRPr="00C65103" w:rsidRDefault="00C65103" w:rsidP="007D6F1B">
            <w:pPr>
              <w:numPr>
                <w:ilvl w:val="0"/>
                <w:numId w:val="4"/>
              </w:numPr>
              <w:spacing w:before="40" w:after="20" w:line="220" w:lineRule="atLeast"/>
              <w:contextualSpacing/>
              <w:rPr>
                <w:rFonts w:ascii="Times New Roman" w:hAnsi="Times New Roman" w:cs="Times New Roman"/>
                <w:sz w:val="20"/>
                <w:szCs w:val="20"/>
                <w:lang w:val="en"/>
              </w:rPr>
            </w:pPr>
            <w:r w:rsidRPr="00C65103">
              <w:rPr>
                <w:rFonts w:ascii="Times New Roman" w:hAnsi="Times New Roman" w:cs="Times New Roman"/>
                <w:sz w:val="20"/>
                <w:szCs w:val="20"/>
                <w:lang w:val="en"/>
              </w:rPr>
              <w:t>manufacture of electrical and optical equipment</w:t>
            </w:r>
          </w:p>
        </w:tc>
        <w:tc>
          <w:tcPr>
            <w:tcW w:w="1115" w:type="dxa"/>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131</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57</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57</w:t>
            </w:r>
          </w:p>
        </w:tc>
        <w:tc>
          <w:tcPr>
            <w:tcW w:w="851" w:type="dxa"/>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118</w:t>
            </w:r>
          </w:p>
        </w:tc>
        <w:tc>
          <w:tcPr>
            <w:tcW w:w="992" w:type="dxa"/>
            <w:vAlign w:val="center"/>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58</w:t>
            </w:r>
          </w:p>
        </w:tc>
        <w:tc>
          <w:tcPr>
            <w:tcW w:w="1134" w:type="dxa"/>
            <w:gridSpan w:val="2"/>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59</w:t>
            </w:r>
          </w:p>
        </w:tc>
      </w:tr>
      <w:tr w:rsidR="00C65103" w:rsidRPr="00C65103" w:rsidTr="00C65103">
        <w:tc>
          <w:tcPr>
            <w:tcW w:w="2802" w:type="dxa"/>
            <w:tcMar>
              <w:top w:w="0" w:type="dxa"/>
              <w:left w:w="108" w:type="dxa"/>
              <w:bottom w:w="0" w:type="dxa"/>
              <w:right w:w="108" w:type="dxa"/>
            </w:tcMar>
            <w:hideMark/>
          </w:tcPr>
          <w:p w:rsidR="00C65103" w:rsidRPr="00C65103" w:rsidRDefault="00C65103" w:rsidP="007D6F1B">
            <w:pPr>
              <w:numPr>
                <w:ilvl w:val="0"/>
                <w:numId w:val="4"/>
              </w:numPr>
              <w:spacing w:before="40" w:after="20" w:line="220" w:lineRule="atLeast"/>
              <w:contextualSpacing/>
              <w:rPr>
                <w:rFonts w:ascii="Times New Roman" w:hAnsi="Times New Roman" w:cs="Times New Roman"/>
                <w:sz w:val="20"/>
                <w:szCs w:val="20"/>
                <w:lang w:val="en"/>
              </w:rPr>
            </w:pPr>
            <w:r w:rsidRPr="00C65103">
              <w:rPr>
                <w:rFonts w:ascii="Times New Roman" w:hAnsi="Times New Roman" w:cs="Times New Roman"/>
                <w:sz w:val="20"/>
                <w:szCs w:val="20"/>
                <w:lang w:val="en"/>
              </w:rPr>
              <w:t>manufacture of transport equipment</w:t>
            </w:r>
          </w:p>
        </w:tc>
        <w:tc>
          <w:tcPr>
            <w:tcW w:w="1115" w:type="dxa"/>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55</w:t>
            </w:r>
          </w:p>
        </w:tc>
        <w:tc>
          <w:tcPr>
            <w:tcW w:w="1152" w:type="dxa"/>
            <w:tcMar>
              <w:top w:w="0" w:type="dxa"/>
              <w:left w:w="108" w:type="dxa"/>
              <w:bottom w:w="0" w:type="dxa"/>
              <w:right w:w="108" w:type="dxa"/>
            </w:tcMar>
            <w:vAlign w:val="center"/>
            <w:hideMark/>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c>
          <w:tcPr>
            <w:tcW w:w="1134" w:type="dxa"/>
            <w:gridSpan w:val="2"/>
            <w:tcMar>
              <w:top w:w="0" w:type="dxa"/>
              <w:left w:w="108" w:type="dxa"/>
              <w:bottom w:w="0" w:type="dxa"/>
              <w:right w:w="108" w:type="dxa"/>
            </w:tcMar>
            <w:vAlign w:val="center"/>
            <w:hideMark/>
          </w:tcPr>
          <w:p w:rsidR="00C65103" w:rsidRPr="00C65103" w:rsidRDefault="00C65103" w:rsidP="00C65103">
            <w:pPr>
              <w:spacing w:before="4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26</w:t>
            </w:r>
          </w:p>
        </w:tc>
        <w:tc>
          <w:tcPr>
            <w:tcW w:w="851" w:type="dxa"/>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56</w:t>
            </w:r>
          </w:p>
        </w:tc>
        <w:tc>
          <w:tcPr>
            <w:tcW w:w="992" w:type="dxa"/>
            <w:vAlign w:val="center"/>
          </w:tcPr>
          <w:p w:rsidR="00C65103" w:rsidRPr="00C65103" w:rsidRDefault="00C65103" w:rsidP="00C65103">
            <w:pPr>
              <w:spacing w:before="80" w:after="20" w:line="240" w:lineRule="auto"/>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c>
          <w:tcPr>
            <w:tcW w:w="1134" w:type="dxa"/>
            <w:gridSpan w:val="2"/>
            <w:vAlign w:val="center"/>
          </w:tcPr>
          <w:p w:rsidR="00C65103" w:rsidRPr="00C65103" w:rsidRDefault="00C65103" w:rsidP="00C65103">
            <w:pPr>
              <w:spacing w:before="60" w:after="40" w:line="200" w:lineRule="atLeast"/>
              <w:ind w:right="15"/>
              <w:jc w:val="right"/>
              <w:rPr>
                <w:rFonts w:ascii="Times New Roman" w:hAnsi="Times New Roman" w:cs="Times New Roman"/>
                <w:sz w:val="20"/>
                <w:szCs w:val="20"/>
                <w:lang w:val="en"/>
              </w:rPr>
            </w:pPr>
            <w:r w:rsidRPr="00C65103">
              <w:rPr>
                <w:rFonts w:ascii="Times New Roman" w:hAnsi="Times New Roman" w:cs="Times New Roman"/>
                <w:sz w:val="20"/>
                <w:szCs w:val="20"/>
                <w:lang w:val="en"/>
              </w:rPr>
              <w:t>23</w:t>
            </w:r>
          </w:p>
        </w:tc>
      </w:tr>
    </w:tbl>
    <w:p w:rsidR="00C65103" w:rsidRPr="00C65103" w:rsidRDefault="00C65103" w:rsidP="00C65103">
      <w:pPr>
        <w:spacing w:after="0" w:line="240" w:lineRule="auto"/>
        <w:rPr>
          <w:rFonts w:ascii="Times New Roman" w:hAnsi="Times New Roman" w:cs="Times New Roman"/>
          <w:sz w:val="20"/>
          <w:szCs w:val="20"/>
          <w:lang w:val="hu-HU"/>
        </w:rPr>
      </w:pPr>
      <w:r w:rsidRPr="00C65103">
        <w:rPr>
          <w:rFonts w:ascii="Times New Roman" w:hAnsi="Times New Roman" w:cs="Times New Roman"/>
          <w:sz w:val="20"/>
          <w:szCs w:val="20"/>
          <w:lang w:val="hu-HU"/>
        </w:rPr>
        <w:t xml:space="preserve">Source: compilation from BelStat </w:t>
      </w:r>
      <w:r w:rsidR="00947D43">
        <w:rPr>
          <w:rFonts w:ascii="Times New Roman" w:hAnsi="Times New Roman" w:cs="Times New Roman"/>
          <w:sz w:val="20"/>
          <w:szCs w:val="20"/>
          <w:lang w:val="hu-HU"/>
        </w:rPr>
        <w:t>Statistics.</w:t>
      </w:r>
    </w:p>
    <w:p w:rsidR="00C65103" w:rsidRPr="00C65103" w:rsidRDefault="00C65103" w:rsidP="00C65103">
      <w:pPr>
        <w:spacing w:after="0" w:line="240" w:lineRule="auto"/>
        <w:jc w:val="center"/>
        <w:rPr>
          <w:rFonts w:ascii="Times New Roman" w:hAnsi="Times New Roman" w:cs="Times New Roman"/>
          <w:sz w:val="20"/>
          <w:szCs w:val="20"/>
        </w:rPr>
      </w:pPr>
    </w:p>
    <w:p w:rsidR="00C65103" w:rsidRPr="00C65103" w:rsidRDefault="00C65103" w:rsidP="00C65103">
      <w:pPr>
        <w:spacing w:after="0" w:line="240" w:lineRule="auto"/>
        <w:rPr>
          <w:rFonts w:ascii="Times New Roman" w:hAnsi="Times New Roman" w:cs="Times New Roman"/>
          <w:sz w:val="24"/>
          <w:szCs w:val="24"/>
        </w:rPr>
      </w:pPr>
    </w:p>
    <w:p w:rsidR="00C65103" w:rsidRPr="00852910" w:rsidRDefault="00C65103" w:rsidP="00742EF7">
      <w:pPr>
        <w:spacing w:after="0" w:line="240" w:lineRule="auto"/>
        <w:rPr>
          <w:rFonts w:ascii="Times New Roman" w:hAnsi="Times New Roman" w:cs="Times New Roman"/>
          <w:sz w:val="24"/>
          <w:szCs w:val="24"/>
        </w:rPr>
      </w:pPr>
      <w:r w:rsidRPr="00852910">
        <w:rPr>
          <w:rFonts w:ascii="Times New Roman" w:hAnsi="Times New Roman" w:cs="Times New Roman"/>
          <w:sz w:val="24"/>
          <w:szCs w:val="24"/>
        </w:rPr>
        <w:t>Table 12</w:t>
      </w:r>
      <w:r w:rsidR="009B57C2">
        <w:rPr>
          <w:rFonts w:ascii="Times New Roman" w:hAnsi="Times New Roman" w:cs="Times New Roman"/>
          <w:sz w:val="24"/>
          <w:szCs w:val="24"/>
        </w:rPr>
        <w:t>.</w:t>
      </w:r>
      <w:r w:rsidRPr="00852910">
        <w:rPr>
          <w:rFonts w:ascii="Times New Roman" w:hAnsi="Times New Roman" w:cs="Times New Roman"/>
          <w:sz w:val="24"/>
          <w:szCs w:val="24"/>
        </w:rPr>
        <w:t xml:space="preserve"> Share of expenditure on technological innovation by sectors (%)</w:t>
      </w:r>
    </w:p>
    <w:tbl>
      <w:tblPr>
        <w:tblStyle w:val="TableGrid1"/>
        <w:tblW w:w="0" w:type="auto"/>
        <w:tblLook w:val="04A0" w:firstRow="1" w:lastRow="0" w:firstColumn="1" w:lastColumn="0" w:noHBand="0" w:noVBand="1"/>
      </w:tblPr>
      <w:tblGrid>
        <w:gridCol w:w="723"/>
        <w:gridCol w:w="5303"/>
        <w:gridCol w:w="1411"/>
        <w:gridCol w:w="1805"/>
      </w:tblGrid>
      <w:tr w:rsidR="00C65103" w:rsidRPr="00C65103" w:rsidTr="00742EF7">
        <w:tc>
          <w:tcPr>
            <w:tcW w:w="723" w:type="dxa"/>
          </w:tcPr>
          <w:p w:rsidR="00C65103" w:rsidRPr="00B524BA" w:rsidRDefault="00C65103" w:rsidP="00C65103">
            <w:pPr>
              <w:jc w:val="center"/>
              <w:rPr>
                <w:rFonts w:ascii="Times New Roman" w:hAnsi="Times New Roman" w:cs="Times New Roman"/>
                <w:i/>
                <w:sz w:val="20"/>
                <w:szCs w:val="20"/>
              </w:rPr>
            </w:pPr>
            <w:r w:rsidRPr="00B524BA">
              <w:rPr>
                <w:rFonts w:ascii="Times New Roman" w:hAnsi="Times New Roman" w:cs="Times New Roman"/>
                <w:i/>
                <w:sz w:val="20"/>
                <w:szCs w:val="20"/>
              </w:rPr>
              <w:t>Rank</w:t>
            </w:r>
          </w:p>
        </w:tc>
        <w:tc>
          <w:tcPr>
            <w:tcW w:w="5303" w:type="dxa"/>
          </w:tcPr>
          <w:p w:rsidR="00C65103" w:rsidRPr="00B524BA" w:rsidRDefault="002B3230" w:rsidP="00C65103">
            <w:pPr>
              <w:jc w:val="center"/>
              <w:rPr>
                <w:rFonts w:ascii="Times New Roman" w:hAnsi="Times New Roman" w:cs="Times New Roman"/>
                <w:i/>
                <w:sz w:val="20"/>
                <w:szCs w:val="20"/>
              </w:rPr>
            </w:pPr>
            <w:r w:rsidRPr="00B524BA">
              <w:rPr>
                <w:rFonts w:ascii="Times New Roman" w:hAnsi="Times New Roman" w:cs="Times New Roman"/>
                <w:i/>
                <w:sz w:val="20"/>
                <w:szCs w:val="20"/>
              </w:rPr>
              <w:t>S</w:t>
            </w:r>
            <w:r w:rsidR="00C65103" w:rsidRPr="00B524BA">
              <w:rPr>
                <w:rFonts w:ascii="Times New Roman" w:hAnsi="Times New Roman" w:cs="Times New Roman"/>
                <w:i/>
                <w:sz w:val="20"/>
                <w:szCs w:val="20"/>
              </w:rPr>
              <w:t>ectors</w:t>
            </w:r>
          </w:p>
        </w:tc>
        <w:tc>
          <w:tcPr>
            <w:tcW w:w="1411" w:type="dxa"/>
          </w:tcPr>
          <w:p w:rsidR="00C65103" w:rsidRPr="00B524BA" w:rsidRDefault="00C65103" w:rsidP="00C65103">
            <w:pPr>
              <w:jc w:val="center"/>
              <w:rPr>
                <w:rFonts w:ascii="Times New Roman" w:hAnsi="Times New Roman" w:cs="Times New Roman"/>
                <w:i/>
                <w:sz w:val="20"/>
                <w:szCs w:val="20"/>
              </w:rPr>
            </w:pPr>
            <w:r w:rsidRPr="00B524BA">
              <w:rPr>
                <w:rFonts w:ascii="Times New Roman" w:hAnsi="Times New Roman" w:cs="Times New Roman"/>
                <w:i/>
                <w:sz w:val="20"/>
                <w:szCs w:val="20"/>
              </w:rPr>
              <w:t>Share (%)</w:t>
            </w:r>
          </w:p>
        </w:tc>
        <w:tc>
          <w:tcPr>
            <w:tcW w:w="1805" w:type="dxa"/>
          </w:tcPr>
          <w:p w:rsidR="00C65103" w:rsidRPr="00B524BA" w:rsidRDefault="00C65103" w:rsidP="00C65103">
            <w:pPr>
              <w:jc w:val="center"/>
              <w:rPr>
                <w:rFonts w:ascii="Times New Roman" w:hAnsi="Times New Roman" w:cs="Times New Roman"/>
                <w:i/>
                <w:sz w:val="20"/>
                <w:szCs w:val="20"/>
              </w:rPr>
            </w:pPr>
            <w:r w:rsidRPr="00B524BA">
              <w:rPr>
                <w:rFonts w:ascii="Times New Roman" w:hAnsi="Times New Roman" w:cs="Times New Roman"/>
                <w:i/>
                <w:sz w:val="20"/>
                <w:szCs w:val="20"/>
              </w:rPr>
              <w:t>Main financial source (%)</w:t>
            </w:r>
          </w:p>
        </w:tc>
      </w:tr>
      <w:tr w:rsidR="00C65103" w:rsidRPr="00C65103" w:rsidTr="00742EF7">
        <w:trPr>
          <w:trHeight w:val="324"/>
        </w:trPr>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1</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coke, petroleum products and nuclear materials</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30.9</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 xml:space="preserve"> own funds (76)</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2</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machinery and equipment</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17.4</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own funds (70)</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3</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basic metals and fabricated metal products</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15.3</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foreign investment incl. credits and loans (53)</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4</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transport vehicle and equipment</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7.5</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own funds (46)</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5</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other non-metallic mineral products</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5.9</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own funds (43)</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6</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food, beverages and tobacco</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5.6</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credits and loans (66)</w:t>
            </w:r>
          </w:p>
        </w:tc>
      </w:tr>
      <w:tr w:rsidR="00C65103" w:rsidRPr="00C65103" w:rsidTr="00742EF7">
        <w:trPr>
          <w:trHeight w:val="318"/>
        </w:trPr>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7</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Manufacture of electrical, electronic and optical equipment</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4.0</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own funds (64)</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 xml:space="preserve">Other sectors </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13.4</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 xml:space="preserve">miscellaneous </w:t>
            </w:r>
          </w:p>
        </w:tc>
      </w:tr>
      <w:tr w:rsidR="00C65103" w:rsidRPr="00C65103" w:rsidTr="00742EF7">
        <w:tc>
          <w:tcPr>
            <w:tcW w:w="72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w:t>
            </w:r>
          </w:p>
        </w:tc>
        <w:tc>
          <w:tcPr>
            <w:tcW w:w="5303" w:type="dxa"/>
          </w:tcPr>
          <w:p w:rsidR="00C65103" w:rsidRPr="00C65103" w:rsidRDefault="00C65103" w:rsidP="00C65103">
            <w:pPr>
              <w:rPr>
                <w:rFonts w:ascii="Times New Roman" w:hAnsi="Times New Roman" w:cs="Times New Roman"/>
                <w:sz w:val="20"/>
                <w:szCs w:val="20"/>
              </w:rPr>
            </w:pPr>
            <w:r w:rsidRPr="00C65103">
              <w:rPr>
                <w:rFonts w:ascii="Times New Roman" w:hAnsi="Times New Roman" w:cs="Times New Roman"/>
                <w:sz w:val="20"/>
                <w:szCs w:val="20"/>
              </w:rPr>
              <w:t xml:space="preserve">Total </w:t>
            </w:r>
          </w:p>
        </w:tc>
        <w:tc>
          <w:tcPr>
            <w:tcW w:w="1411"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100.0</w:t>
            </w:r>
          </w:p>
        </w:tc>
        <w:tc>
          <w:tcPr>
            <w:tcW w:w="1805" w:type="dxa"/>
          </w:tcPr>
          <w:p w:rsidR="00C65103" w:rsidRPr="00C65103" w:rsidRDefault="00C65103" w:rsidP="00C65103">
            <w:pPr>
              <w:jc w:val="center"/>
              <w:rPr>
                <w:rFonts w:ascii="Times New Roman" w:hAnsi="Times New Roman" w:cs="Times New Roman"/>
                <w:sz w:val="20"/>
                <w:szCs w:val="20"/>
              </w:rPr>
            </w:pPr>
            <w:r w:rsidRPr="00C65103">
              <w:rPr>
                <w:rFonts w:ascii="Times New Roman" w:hAnsi="Times New Roman" w:cs="Times New Roman"/>
                <w:sz w:val="20"/>
                <w:szCs w:val="20"/>
              </w:rPr>
              <w:t>own funds (54)</w:t>
            </w:r>
          </w:p>
        </w:tc>
      </w:tr>
    </w:tbl>
    <w:p w:rsidR="00C65103" w:rsidRPr="00C65103" w:rsidRDefault="00C65103" w:rsidP="00C65103">
      <w:pPr>
        <w:spacing w:after="0" w:line="240" w:lineRule="auto"/>
        <w:rPr>
          <w:rFonts w:ascii="Times New Roman" w:hAnsi="Times New Roman" w:cs="Times New Roman"/>
          <w:sz w:val="20"/>
          <w:szCs w:val="20"/>
        </w:rPr>
      </w:pPr>
      <w:r w:rsidRPr="00C65103">
        <w:rPr>
          <w:rFonts w:ascii="Times New Roman" w:hAnsi="Times New Roman" w:cs="Times New Roman"/>
          <w:color w:val="222222"/>
          <w:sz w:val="20"/>
          <w:szCs w:val="20"/>
          <w:shd w:val="clear" w:color="auto" w:fill="FFFFFF"/>
        </w:rPr>
        <w:t>Source: compilation from BelStat Science and Innovation Activity in the Republic of Belarus, Statistical Book, National Committee of the Republic of Belarus, Minsk 2015 from table 6.20</w:t>
      </w:r>
      <w:r w:rsidRPr="00C65103">
        <w:rPr>
          <w:rFonts w:ascii="Times New Roman" w:hAnsi="Times New Roman" w:cs="Times New Roman"/>
          <w:sz w:val="20"/>
          <w:szCs w:val="20"/>
        </w:rPr>
        <w:t xml:space="preserve"> </w:t>
      </w:r>
    </w:p>
    <w:p w:rsidR="00C65103" w:rsidRPr="00C65103" w:rsidRDefault="00C65103" w:rsidP="00C65103">
      <w:pPr>
        <w:spacing w:after="0" w:line="240" w:lineRule="auto"/>
        <w:jc w:val="center"/>
        <w:rPr>
          <w:rFonts w:ascii="Times New Roman" w:hAnsi="Times New Roman" w:cs="Times New Roman"/>
          <w:b/>
          <w:sz w:val="24"/>
          <w:szCs w:val="24"/>
        </w:rPr>
      </w:pPr>
    </w:p>
    <w:p w:rsidR="00C65103" w:rsidRPr="00C65103" w:rsidRDefault="002B3230" w:rsidP="00C220F9">
      <w:pPr>
        <w:spacing w:after="0" w:line="240" w:lineRule="auto"/>
        <w:jc w:val="both"/>
        <w:rPr>
          <w:rFonts w:ascii="Times New Roman" w:hAnsi="Times New Roman" w:cs="Times New Roman"/>
          <w:color w:val="00B0F0"/>
          <w:sz w:val="24"/>
          <w:szCs w:val="24"/>
        </w:rPr>
      </w:pPr>
      <w:r w:rsidRPr="002B3230">
        <w:rPr>
          <w:rFonts w:ascii="Times New Roman" w:hAnsi="Times New Roman" w:cs="Times New Roman"/>
          <w:sz w:val="24"/>
          <w:szCs w:val="24"/>
        </w:rPr>
        <w:t>The highest spending sector is the manufacture of coke, petroleum products and nuclear materials – accounting for 31</w:t>
      </w:r>
      <w:r>
        <w:rPr>
          <w:rFonts w:ascii="Times New Roman" w:hAnsi="Times New Roman" w:cs="Times New Roman"/>
          <w:sz w:val="24"/>
          <w:szCs w:val="24"/>
        </w:rPr>
        <w:t>per cent</w:t>
      </w:r>
      <w:r w:rsidRPr="002B3230">
        <w:rPr>
          <w:rFonts w:ascii="Times New Roman" w:hAnsi="Times New Roman" w:cs="Times New Roman"/>
          <w:sz w:val="24"/>
          <w:szCs w:val="24"/>
        </w:rPr>
        <w:t xml:space="preserve"> of </w:t>
      </w:r>
      <w:r>
        <w:rPr>
          <w:rFonts w:ascii="Times New Roman" w:hAnsi="Times New Roman" w:cs="Times New Roman"/>
          <w:sz w:val="24"/>
          <w:szCs w:val="24"/>
        </w:rPr>
        <w:t>total spending in the national economy</w:t>
      </w:r>
      <w:r w:rsidRPr="002B3230">
        <w:rPr>
          <w:rFonts w:ascii="Times New Roman" w:hAnsi="Times New Roman" w:cs="Times New Roman"/>
          <w:sz w:val="24"/>
          <w:szCs w:val="24"/>
        </w:rPr>
        <w:t>.</w:t>
      </w:r>
      <w:r w:rsidR="00661B8F" w:rsidRPr="00661B8F">
        <w:t xml:space="preserve"> </w:t>
      </w:r>
      <w:r w:rsidR="00661B8F" w:rsidRPr="00661B8F">
        <w:rPr>
          <w:rFonts w:ascii="Times New Roman" w:hAnsi="Times New Roman" w:cs="Times New Roman"/>
          <w:sz w:val="24"/>
          <w:szCs w:val="24"/>
        </w:rPr>
        <w:t xml:space="preserve">Own funds is the most important source of innovation in the majority of sectors (54 per cent for the whole economy) and firms in all sectors have reported having used them in 2014.  </w:t>
      </w:r>
    </w:p>
    <w:p w:rsidR="00C220F9" w:rsidRDefault="00C220F9" w:rsidP="00C220F9">
      <w:pPr>
        <w:spacing w:after="0" w:line="240" w:lineRule="auto"/>
        <w:jc w:val="both"/>
        <w:rPr>
          <w:rFonts w:ascii="Times New Roman" w:hAnsi="Times New Roman" w:cs="Times New Roman"/>
          <w:sz w:val="24"/>
          <w:szCs w:val="24"/>
        </w:rPr>
      </w:pPr>
    </w:p>
    <w:p w:rsidR="00C65103" w:rsidRPr="00C65103" w:rsidRDefault="00C65103" w:rsidP="00C220F9">
      <w:pPr>
        <w:spacing w:after="0" w:line="240" w:lineRule="auto"/>
        <w:jc w:val="both"/>
        <w:rPr>
          <w:rFonts w:ascii="Times New Roman" w:eastAsia="Times New Roman" w:hAnsi="Times New Roman" w:cs="Times New Roman"/>
          <w:b/>
          <w:bCs/>
          <w:sz w:val="20"/>
          <w:szCs w:val="20"/>
          <w:lang w:eastAsia="hu-HU"/>
        </w:rPr>
      </w:pPr>
      <w:r w:rsidRPr="00C65103">
        <w:rPr>
          <w:rFonts w:ascii="Times New Roman" w:hAnsi="Times New Roman" w:cs="Times New Roman"/>
          <w:sz w:val="24"/>
          <w:szCs w:val="24"/>
        </w:rPr>
        <w:t xml:space="preserve">The external resources that can share the business risk of innovation are always very important. </w:t>
      </w:r>
      <w:r w:rsidRPr="00661B8F">
        <w:rPr>
          <w:rFonts w:ascii="Times New Roman" w:hAnsi="Times New Roman" w:cs="Times New Roman"/>
          <w:sz w:val="24"/>
          <w:szCs w:val="24"/>
          <w:highlight w:val="yellow"/>
        </w:rPr>
        <w:t>Table 13</w:t>
      </w:r>
      <w:r w:rsidRPr="00C65103">
        <w:rPr>
          <w:rFonts w:ascii="Times New Roman" w:hAnsi="Times New Roman" w:cs="Times New Roman"/>
          <w:sz w:val="24"/>
          <w:szCs w:val="24"/>
        </w:rPr>
        <w:t xml:space="preserve"> shows the structure of intramural expenditure on technological </w:t>
      </w:r>
      <w:r w:rsidRPr="00C65103">
        <w:rPr>
          <w:rFonts w:ascii="Times New Roman" w:hAnsi="Times New Roman" w:cs="Times New Roman"/>
          <w:sz w:val="24"/>
          <w:szCs w:val="24"/>
        </w:rPr>
        <w:lastRenderedPageBreak/>
        <w:t>innovation by source of funds for</w:t>
      </w:r>
      <w:r w:rsidR="002B3230">
        <w:rPr>
          <w:rFonts w:ascii="Times New Roman" w:hAnsi="Times New Roman" w:cs="Times New Roman"/>
          <w:sz w:val="24"/>
          <w:szCs w:val="24"/>
        </w:rPr>
        <w:t xml:space="preserve"> the</w:t>
      </w:r>
      <w:r w:rsidRPr="00C65103">
        <w:rPr>
          <w:rFonts w:ascii="Times New Roman" w:hAnsi="Times New Roman" w:cs="Times New Roman"/>
          <w:sz w:val="24"/>
          <w:szCs w:val="24"/>
        </w:rPr>
        <w:t xml:space="preserve"> industrial sector. </w:t>
      </w:r>
      <w:r w:rsidR="002B3230">
        <w:rPr>
          <w:rFonts w:ascii="Times New Roman" w:hAnsi="Times New Roman" w:cs="Times New Roman"/>
          <w:sz w:val="24"/>
          <w:szCs w:val="24"/>
        </w:rPr>
        <w:t>Own funds remain</w:t>
      </w:r>
      <w:r w:rsidR="001C52CB">
        <w:rPr>
          <w:rFonts w:ascii="Times New Roman" w:hAnsi="Times New Roman" w:cs="Times New Roman"/>
          <w:sz w:val="24"/>
          <w:szCs w:val="24"/>
        </w:rPr>
        <w:t>ed</w:t>
      </w:r>
      <w:r w:rsidR="002B3230">
        <w:rPr>
          <w:rFonts w:ascii="Times New Roman" w:hAnsi="Times New Roman" w:cs="Times New Roman"/>
          <w:sz w:val="24"/>
          <w:szCs w:val="24"/>
        </w:rPr>
        <w:t xml:space="preserve"> the largest source of funding (54.1 per cent), followed by </w:t>
      </w:r>
      <w:r w:rsidRPr="00C65103">
        <w:rPr>
          <w:rFonts w:ascii="Times New Roman" w:hAnsi="Times New Roman" w:cs="Times New Roman"/>
          <w:sz w:val="24"/>
          <w:szCs w:val="24"/>
        </w:rPr>
        <w:t>credits and loans for innovation activity (26</w:t>
      </w:r>
      <w:r w:rsidR="007300BB">
        <w:rPr>
          <w:rFonts w:ascii="Times New Roman" w:hAnsi="Times New Roman" w:cs="Times New Roman"/>
          <w:sz w:val="24"/>
          <w:szCs w:val="24"/>
        </w:rPr>
        <w:t xml:space="preserve"> per cent</w:t>
      </w:r>
      <w:r w:rsidRPr="00C65103">
        <w:rPr>
          <w:rFonts w:ascii="Times New Roman" w:hAnsi="Times New Roman" w:cs="Times New Roman"/>
          <w:sz w:val="24"/>
          <w:szCs w:val="24"/>
        </w:rPr>
        <w:t xml:space="preserve">). The proportion of these two resources decreased slightly between 2011 and 2014. A third </w:t>
      </w:r>
      <w:r w:rsidR="001C52CB">
        <w:rPr>
          <w:rFonts w:ascii="Times New Roman" w:hAnsi="Times New Roman" w:cs="Times New Roman"/>
          <w:sz w:val="24"/>
          <w:szCs w:val="24"/>
        </w:rPr>
        <w:t xml:space="preserve">source </w:t>
      </w:r>
      <w:r w:rsidRPr="00C65103">
        <w:rPr>
          <w:rFonts w:ascii="Times New Roman" w:hAnsi="Times New Roman" w:cs="Times New Roman"/>
          <w:sz w:val="24"/>
          <w:szCs w:val="24"/>
        </w:rPr>
        <w:t>was foreign investment</w:t>
      </w:r>
      <w:r w:rsidR="001C52CB">
        <w:rPr>
          <w:rFonts w:ascii="Times New Roman" w:hAnsi="Times New Roman" w:cs="Times New Roman"/>
          <w:sz w:val="24"/>
          <w:szCs w:val="24"/>
        </w:rPr>
        <w:t>, including</w:t>
      </w:r>
      <w:r w:rsidR="001C52CB" w:rsidRPr="001C52CB">
        <w:t xml:space="preserve"> </w:t>
      </w:r>
      <w:r w:rsidR="001C52CB" w:rsidRPr="001C52CB">
        <w:rPr>
          <w:rFonts w:ascii="Times New Roman" w:hAnsi="Times New Roman" w:cs="Times New Roman"/>
          <w:sz w:val="24"/>
          <w:szCs w:val="24"/>
        </w:rPr>
        <w:t>credits and loans</w:t>
      </w:r>
      <w:r w:rsidRPr="00C65103">
        <w:rPr>
          <w:rFonts w:ascii="Times New Roman" w:hAnsi="Times New Roman" w:cs="Times New Roman"/>
          <w:sz w:val="24"/>
          <w:szCs w:val="24"/>
        </w:rPr>
        <w:t xml:space="preserve"> (11</w:t>
      </w:r>
      <w:r w:rsidR="007300BB">
        <w:rPr>
          <w:rFonts w:ascii="Times New Roman" w:hAnsi="Times New Roman" w:cs="Times New Roman"/>
          <w:sz w:val="24"/>
          <w:szCs w:val="24"/>
        </w:rPr>
        <w:t xml:space="preserve"> per cent</w:t>
      </w:r>
      <w:r w:rsidRPr="00C65103">
        <w:rPr>
          <w:rFonts w:ascii="Times New Roman" w:hAnsi="Times New Roman" w:cs="Times New Roman"/>
          <w:sz w:val="24"/>
          <w:szCs w:val="24"/>
        </w:rPr>
        <w:t>)</w:t>
      </w:r>
      <w:r w:rsidR="002B3230">
        <w:rPr>
          <w:rFonts w:ascii="Times New Roman" w:hAnsi="Times New Roman" w:cs="Times New Roman"/>
          <w:sz w:val="24"/>
          <w:szCs w:val="24"/>
        </w:rPr>
        <w:t>.</w:t>
      </w:r>
      <w:r w:rsidRPr="00C65103">
        <w:rPr>
          <w:rFonts w:ascii="Times New Roman" w:hAnsi="Times New Roman" w:cs="Times New Roman"/>
          <w:sz w:val="24"/>
          <w:szCs w:val="24"/>
        </w:rPr>
        <w:t xml:space="preserve"> The </w:t>
      </w:r>
      <w:r w:rsidR="002B3230">
        <w:rPr>
          <w:rFonts w:ascii="Times New Roman" w:hAnsi="Times New Roman" w:cs="Times New Roman"/>
          <w:sz w:val="24"/>
          <w:szCs w:val="24"/>
        </w:rPr>
        <w:t>Republican budget and other State sources provided for</w:t>
      </w:r>
      <w:r w:rsidRPr="00C65103">
        <w:rPr>
          <w:rFonts w:ascii="Times New Roman" w:hAnsi="Times New Roman" w:cs="Times New Roman"/>
          <w:sz w:val="24"/>
          <w:szCs w:val="24"/>
        </w:rPr>
        <w:t xml:space="preserve"> roughly </w:t>
      </w:r>
      <w:r w:rsidR="002B3230">
        <w:rPr>
          <w:rFonts w:ascii="Times New Roman" w:hAnsi="Times New Roman" w:cs="Times New Roman"/>
          <w:sz w:val="24"/>
          <w:szCs w:val="24"/>
        </w:rPr>
        <w:t>8 per cent</w:t>
      </w:r>
      <w:r w:rsidRPr="00C65103">
        <w:rPr>
          <w:rFonts w:ascii="Times New Roman" w:hAnsi="Times New Roman" w:cs="Times New Roman"/>
          <w:sz w:val="24"/>
          <w:szCs w:val="24"/>
        </w:rPr>
        <w:t xml:space="preserve"> of technological innovation expenditure in 2014</w:t>
      </w:r>
      <w:r w:rsidR="00D24497">
        <w:rPr>
          <w:rFonts w:ascii="Times New Roman" w:hAnsi="Times New Roman" w:cs="Times New Roman"/>
          <w:sz w:val="24"/>
          <w:szCs w:val="24"/>
        </w:rPr>
        <w:t xml:space="preserve">. Although </w:t>
      </w:r>
      <w:r w:rsidR="004E7577">
        <w:rPr>
          <w:rFonts w:ascii="Times New Roman" w:hAnsi="Times New Roman" w:cs="Times New Roman"/>
          <w:sz w:val="24"/>
          <w:szCs w:val="24"/>
        </w:rPr>
        <w:t>figures</w:t>
      </w:r>
      <w:r w:rsidR="00D24497">
        <w:rPr>
          <w:rFonts w:ascii="Times New Roman" w:hAnsi="Times New Roman" w:cs="Times New Roman"/>
          <w:sz w:val="24"/>
          <w:szCs w:val="24"/>
        </w:rPr>
        <w:t xml:space="preserve"> show a substantial increase with respect to 2010, it is still </w:t>
      </w:r>
      <w:r w:rsidR="002B3230">
        <w:rPr>
          <w:rFonts w:ascii="Times New Roman" w:hAnsi="Times New Roman" w:cs="Times New Roman"/>
          <w:sz w:val="24"/>
          <w:szCs w:val="24"/>
        </w:rPr>
        <w:t xml:space="preserve">a </w:t>
      </w:r>
      <w:r w:rsidRPr="00C65103">
        <w:rPr>
          <w:rFonts w:ascii="Times New Roman" w:hAnsi="Times New Roman" w:cs="Times New Roman"/>
          <w:sz w:val="24"/>
          <w:szCs w:val="24"/>
        </w:rPr>
        <w:t>limited</w:t>
      </w:r>
      <w:r w:rsidR="00D24497">
        <w:rPr>
          <w:rFonts w:ascii="Times New Roman" w:hAnsi="Times New Roman" w:cs="Times New Roman"/>
          <w:sz w:val="24"/>
          <w:szCs w:val="24"/>
        </w:rPr>
        <w:t xml:space="preserve"> amount in international perspective</w:t>
      </w:r>
      <w:r w:rsidR="00412747">
        <w:rPr>
          <w:rFonts w:ascii="Times New Roman" w:hAnsi="Times New Roman" w:cs="Times New Roman"/>
          <w:sz w:val="24"/>
          <w:szCs w:val="24"/>
        </w:rPr>
        <w:t xml:space="preserve"> (see chapter 3)</w:t>
      </w:r>
      <w:r w:rsidR="00D24497">
        <w:rPr>
          <w:rFonts w:ascii="Times New Roman" w:hAnsi="Times New Roman" w:cs="Times New Roman"/>
          <w:sz w:val="24"/>
          <w:szCs w:val="24"/>
        </w:rPr>
        <w:t xml:space="preserve">. </w:t>
      </w:r>
    </w:p>
    <w:p w:rsidR="00C65103" w:rsidRPr="00852910" w:rsidRDefault="00C65103" w:rsidP="00C65103">
      <w:pPr>
        <w:spacing w:after="0" w:line="360" w:lineRule="atLeast"/>
        <w:ind w:firstLine="709"/>
        <w:rPr>
          <w:rFonts w:ascii="Times New Roman" w:eastAsia="Times New Roman" w:hAnsi="Times New Roman" w:cs="Times New Roman"/>
          <w:sz w:val="24"/>
          <w:szCs w:val="24"/>
          <w:lang w:eastAsia="hu-HU"/>
        </w:rPr>
      </w:pPr>
    </w:p>
    <w:p w:rsidR="00C65103" w:rsidRPr="00852910" w:rsidRDefault="00C65103" w:rsidP="00C65103">
      <w:pPr>
        <w:spacing w:after="0" w:line="240" w:lineRule="auto"/>
        <w:jc w:val="center"/>
        <w:rPr>
          <w:rFonts w:ascii="Times New Roman" w:eastAsia="Times New Roman" w:hAnsi="Times New Roman" w:cs="Times New Roman"/>
          <w:sz w:val="24"/>
          <w:szCs w:val="24"/>
          <w:lang w:eastAsia="hu-HU"/>
        </w:rPr>
      </w:pPr>
      <w:r w:rsidRPr="00852910">
        <w:rPr>
          <w:rFonts w:ascii="Times New Roman" w:eastAsia="Times New Roman" w:hAnsi="Times New Roman" w:cs="Times New Roman"/>
          <w:bCs/>
          <w:sz w:val="24"/>
          <w:szCs w:val="24"/>
          <w:lang w:eastAsia="hu-HU"/>
        </w:rPr>
        <w:t>Table 13</w:t>
      </w:r>
      <w:r w:rsidR="009B57C2">
        <w:rPr>
          <w:rFonts w:ascii="Times New Roman" w:eastAsia="Times New Roman" w:hAnsi="Times New Roman" w:cs="Times New Roman"/>
          <w:bCs/>
          <w:sz w:val="24"/>
          <w:szCs w:val="24"/>
          <w:lang w:eastAsia="hu-HU"/>
        </w:rPr>
        <w:t>.</w:t>
      </w:r>
      <w:r w:rsidRPr="00852910">
        <w:rPr>
          <w:rFonts w:ascii="Times New Roman" w:eastAsia="Times New Roman" w:hAnsi="Times New Roman" w:cs="Times New Roman"/>
          <w:bCs/>
          <w:sz w:val="24"/>
          <w:szCs w:val="24"/>
          <w:lang w:eastAsia="hu-HU"/>
        </w:rPr>
        <w:t xml:space="preserve"> Structure of intramural expenditure on technological innovation in Industry by source of funds </w:t>
      </w:r>
      <w:r w:rsidRPr="00852910">
        <w:rPr>
          <w:rFonts w:ascii="Times New Roman" w:eastAsia="Times New Roman" w:hAnsi="Times New Roman" w:cs="Times New Roman"/>
          <w:sz w:val="24"/>
          <w:szCs w:val="24"/>
          <w:lang w:eastAsia="hu-HU"/>
        </w:rPr>
        <w:t>(%)</w:t>
      </w:r>
    </w:p>
    <w:tbl>
      <w:tblPr>
        <w:tblStyle w:val="GridTable1Light1"/>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726"/>
        <w:gridCol w:w="851"/>
      </w:tblGrid>
      <w:tr w:rsidR="00C65103" w:rsidRPr="00C65103" w:rsidTr="00C651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single" w:sz="24" w:space="0" w:color="auto"/>
            </w:tcBorders>
            <w:noWrap/>
            <w:hideMark/>
          </w:tcPr>
          <w:p w:rsidR="00C65103" w:rsidRPr="00B524BA" w:rsidRDefault="00C65103" w:rsidP="00C65103">
            <w:pPr>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 Funds</w:t>
            </w:r>
          </w:p>
        </w:tc>
        <w:tc>
          <w:tcPr>
            <w:tcW w:w="726" w:type="dxa"/>
            <w:tcBorders>
              <w:bottom w:val="single" w:sz="24"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2011</w:t>
            </w:r>
          </w:p>
        </w:tc>
        <w:tc>
          <w:tcPr>
            <w:tcW w:w="851" w:type="dxa"/>
            <w:tcBorders>
              <w:bottom w:val="single" w:sz="24" w:space="0" w:color="auto"/>
            </w:tcBorders>
            <w:noWrap/>
            <w:hideMark/>
          </w:tcPr>
          <w:p w:rsidR="00C65103" w:rsidRPr="00B524BA" w:rsidRDefault="00C65103" w:rsidP="00C651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2014</w:t>
            </w:r>
          </w:p>
        </w:tc>
      </w:tr>
      <w:tr w:rsidR="00C65103" w:rsidRPr="00C65103" w:rsidTr="00C65103">
        <w:trPr>
          <w:trHeight w:val="332"/>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auto"/>
            </w:tcBorders>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Total expenditure on technological innovations</w:t>
            </w:r>
          </w:p>
        </w:tc>
        <w:tc>
          <w:tcPr>
            <w:tcW w:w="726" w:type="dxa"/>
            <w:tcBorders>
              <w:top w:val="single" w:sz="24" w:space="0" w:color="auto"/>
            </w:tcBorders>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100</w:t>
            </w:r>
          </w:p>
        </w:tc>
        <w:tc>
          <w:tcPr>
            <w:tcW w:w="851" w:type="dxa"/>
            <w:tcBorders>
              <w:top w:val="single" w:sz="24" w:space="0" w:color="auto"/>
            </w:tcBorders>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100</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Own funds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60.5</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54.1</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Public sources</w:t>
            </w:r>
          </w:p>
        </w:tc>
        <w:tc>
          <w:tcPr>
            <w:tcW w:w="726" w:type="dxa"/>
            <w:noWrap/>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4.0</w:t>
            </w:r>
          </w:p>
        </w:tc>
        <w:tc>
          <w:tcPr>
            <w:tcW w:w="851" w:type="dxa"/>
            <w:noWrap/>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8.1</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7D6F1B">
            <w:pPr>
              <w:numPr>
                <w:ilvl w:val="0"/>
                <w:numId w:val="2"/>
              </w:numPr>
              <w:contextualSpacing/>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Republican budget</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3.0</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6.2</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  of which innovation funds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2.8</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7D6F1B">
            <w:pPr>
              <w:numPr>
                <w:ilvl w:val="0"/>
                <w:numId w:val="3"/>
              </w:numPr>
              <w:contextualSpacing/>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Local budget</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0.1</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1.4</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 of which innovation funds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0.03</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7D6F1B">
            <w:pPr>
              <w:numPr>
                <w:ilvl w:val="0"/>
                <w:numId w:val="3"/>
              </w:numPr>
              <w:contextualSpacing/>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Budget of the Union State</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0.2</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0.1</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7D6F1B">
            <w:pPr>
              <w:numPr>
                <w:ilvl w:val="0"/>
                <w:numId w:val="3"/>
              </w:numPr>
              <w:contextualSpacing/>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Extra-budgetary funds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0.5</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0.4</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Credits and loans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30.3</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26.0</w:t>
            </w:r>
          </w:p>
        </w:tc>
      </w:tr>
      <w:tr w:rsidR="00C65103" w:rsidRPr="00C65103" w:rsidTr="00C65103">
        <w:trPr>
          <w:trHeight w:val="228"/>
        </w:trPr>
        <w:tc>
          <w:tcPr>
            <w:cnfStyle w:val="001000000000" w:firstRow="0" w:lastRow="0" w:firstColumn="1" w:lastColumn="0" w:oddVBand="0" w:evenVBand="0" w:oddHBand="0" w:evenHBand="0" w:firstRowFirstColumn="0" w:firstRowLastColumn="0" w:lastRowFirstColumn="0" w:lastRowLastColumn="0"/>
            <w:tcW w:w="0" w:type="auto"/>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Foreign investment, including foreign credits and loans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5.2</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11.2</w:t>
            </w:r>
          </w:p>
        </w:tc>
      </w:tr>
      <w:tr w:rsidR="00C65103"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C65103" w:rsidRPr="00412747" w:rsidRDefault="00C65103"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Other sources</w:t>
            </w:r>
          </w:p>
        </w:tc>
        <w:tc>
          <w:tcPr>
            <w:tcW w:w="726"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0.2</w:t>
            </w:r>
          </w:p>
        </w:tc>
        <w:tc>
          <w:tcPr>
            <w:tcW w:w="851" w:type="dxa"/>
            <w:noWrap/>
            <w:hideMark/>
          </w:tcPr>
          <w:p w:rsidR="00C65103" w:rsidRPr="00C65103" w:rsidRDefault="00C65103"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0.6</w:t>
            </w:r>
          </w:p>
        </w:tc>
      </w:tr>
    </w:tbl>
    <w:p w:rsidR="00C65103" w:rsidRPr="00C65103" w:rsidRDefault="00C65103" w:rsidP="00C65103">
      <w:pPr>
        <w:spacing w:after="0" w:line="240" w:lineRule="auto"/>
        <w:rPr>
          <w:rFonts w:ascii="Times New Roman" w:hAnsi="Times New Roman" w:cs="Times New Roman"/>
          <w:sz w:val="20"/>
          <w:szCs w:val="20"/>
        </w:rPr>
      </w:pPr>
      <w:r w:rsidRPr="00C65103">
        <w:rPr>
          <w:rFonts w:ascii="Times New Roman" w:hAnsi="Times New Roman" w:cs="Times New Roman"/>
          <w:sz w:val="20"/>
          <w:szCs w:val="20"/>
        </w:rPr>
        <w:t>Source: compilation from BelStat Science and Innovation Activity in the Republic of Belarus, Statistical Book, National Committee of the Republic of Belarus, Minsk 2015 table 6.19</w:t>
      </w:r>
    </w:p>
    <w:p w:rsidR="00C65103" w:rsidRPr="00C65103" w:rsidRDefault="00C65103" w:rsidP="00C65103">
      <w:pPr>
        <w:autoSpaceDE w:val="0"/>
        <w:autoSpaceDN w:val="0"/>
        <w:adjustRightInd w:val="0"/>
        <w:spacing w:after="0" w:line="240" w:lineRule="auto"/>
        <w:rPr>
          <w:rFonts w:ascii="Times New Roman" w:hAnsi="Times New Roman" w:cs="Times New Roman"/>
          <w:b/>
          <w:bCs/>
          <w:color w:val="000000"/>
          <w:sz w:val="20"/>
          <w:szCs w:val="20"/>
        </w:rPr>
      </w:pPr>
    </w:p>
    <w:p w:rsidR="00C65103" w:rsidRPr="00C65103" w:rsidRDefault="004E7577" w:rsidP="00C2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Still, t</w:t>
      </w:r>
      <w:r w:rsidR="00C65103" w:rsidRPr="00C65103">
        <w:rPr>
          <w:rFonts w:ascii="Times New Roman" w:hAnsi="Times New Roman" w:cs="Times New Roman"/>
          <w:sz w:val="24"/>
          <w:szCs w:val="24"/>
        </w:rPr>
        <w:t xml:space="preserve">he changing ratios of funding show that initial steps have been taken towards a </w:t>
      </w:r>
      <w:r w:rsidR="00C65103" w:rsidRPr="00C65103">
        <w:rPr>
          <w:rFonts w:ascii="Times New Roman" w:hAnsi="Times New Roman" w:cs="Times New Roman"/>
          <w:i/>
          <w:sz w:val="24"/>
          <w:szCs w:val="24"/>
        </w:rPr>
        <w:t>more innovation-friendly financing structure</w:t>
      </w:r>
      <w:r w:rsidR="00C65103" w:rsidRPr="00C65103">
        <w:rPr>
          <w:rFonts w:ascii="Times New Roman" w:hAnsi="Times New Roman" w:cs="Times New Roman"/>
          <w:sz w:val="24"/>
          <w:szCs w:val="24"/>
        </w:rPr>
        <w:t xml:space="preserve">. The positive sign is that public resources have increased at the expense of credits and loans. This shift between resources is very important for such risky activities as innovation. </w:t>
      </w:r>
      <w:r w:rsidR="001C52CB">
        <w:rPr>
          <w:rFonts w:ascii="Times New Roman" w:hAnsi="Times New Roman" w:cs="Times New Roman"/>
          <w:sz w:val="24"/>
          <w:szCs w:val="24"/>
        </w:rPr>
        <w:t>However, i</w:t>
      </w:r>
      <w:r w:rsidR="00C65103" w:rsidRPr="00C65103">
        <w:rPr>
          <w:rFonts w:ascii="Times New Roman" w:hAnsi="Times New Roman" w:cs="Times New Roman"/>
          <w:sz w:val="24"/>
          <w:szCs w:val="24"/>
        </w:rPr>
        <w:t>n Belarus the problem that enterprises are under</w:t>
      </w:r>
      <w:r>
        <w:rPr>
          <w:rFonts w:ascii="Times New Roman" w:hAnsi="Times New Roman" w:cs="Times New Roman"/>
          <w:sz w:val="24"/>
          <w:szCs w:val="24"/>
        </w:rPr>
        <w:t>-</w:t>
      </w:r>
      <w:r w:rsidR="00C65103" w:rsidRPr="00C65103">
        <w:rPr>
          <w:rFonts w:ascii="Times New Roman" w:hAnsi="Times New Roman" w:cs="Times New Roman"/>
          <w:sz w:val="24"/>
          <w:szCs w:val="24"/>
        </w:rPr>
        <w:t xml:space="preserve">capitalized </w:t>
      </w:r>
      <w:r w:rsidR="001C52CB">
        <w:rPr>
          <w:rFonts w:ascii="Times New Roman" w:hAnsi="Times New Roman" w:cs="Times New Roman"/>
          <w:sz w:val="24"/>
          <w:szCs w:val="24"/>
        </w:rPr>
        <w:t xml:space="preserve"> remains </w:t>
      </w:r>
      <w:r>
        <w:rPr>
          <w:rFonts w:ascii="Times New Roman" w:hAnsi="Times New Roman" w:cs="Times New Roman"/>
          <w:sz w:val="24"/>
          <w:szCs w:val="24"/>
        </w:rPr>
        <w:t xml:space="preserve">significant; </w:t>
      </w:r>
      <w:r w:rsidR="00C65103" w:rsidRPr="00C65103">
        <w:rPr>
          <w:rFonts w:ascii="Times New Roman" w:hAnsi="Times New Roman" w:cs="Times New Roman"/>
          <w:sz w:val="24"/>
          <w:szCs w:val="24"/>
        </w:rPr>
        <w:t xml:space="preserve">and </w:t>
      </w:r>
      <w:r w:rsidR="001C52CB">
        <w:rPr>
          <w:rFonts w:ascii="Times New Roman" w:hAnsi="Times New Roman" w:cs="Times New Roman"/>
          <w:sz w:val="24"/>
          <w:szCs w:val="24"/>
        </w:rPr>
        <w:t xml:space="preserve">the </w:t>
      </w:r>
      <w:r w:rsidR="00C65103" w:rsidRPr="00C65103">
        <w:rPr>
          <w:rFonts w:ascii="Times New Roman" w:hAnsi="Times New Roman" w:cs="Times New Roman"/>
          <w:sz w:val="24"/>
          <w:szCs w:val="24"/>
        </w:rPr>
        <w:t xml:space="preserve">limited public resources devoted </w:t>
      </w:r>
      <w:r w:rsidR="001C52CB">
        <w:rPr>
          <w:rFonts w:ascii="Times New Roman" w:hAnsi="Times New Roman" w:cs="Times New Roman"/>
          <w:sz w:val="24"/>
          <w:szCs w:val="24"/>
        </w:rPr>
        <w:t xml:space="preserve">to fill in the gap represent </w:t>
      </w:r>
      <w:r w:rsidR="00C65103" w:rsidRPr="00C65103">
        <w:rPr>
          <w:rFonts w:ascii="Times New Roman" w:hAnsi="Times New Roman" w:cs="Times New Roman"/>
          <w:sz w:val="24"/>
          <w:szCs w:val="24"/>
        </w:rPr>
        <w:t>minuscule fractions t</w:t>
      </w:r>
      <w:r w:rsidR="001C52CB">
        <w:rPr>
          <w:rFonts w:ascii="Times New Roman" w:hAnsi="Times New Roman" w:cs="Times New Roman"/>
          <w:sz w:val="24"/>
          <w:szCs w:val="24"/>
        </w:rPr>
        <w:t>hat are not enough to</w:t>
      </w:r>
      <w:r w:rsidR="00C65103" w:rsidRPr="00C65103">
        <w:rPr>
          <w:rFonts w:ascii="Times New Roman" w:hAnsi="Times New Roman" w:cs="Times New Roman"/>
          <w:sz w:val="24"/>
          <w:szCs w:val="24"/>
        </w:rPr>
        <w:t xml:space="preserve"> share the business risks for breakthrough innovation.</w:t>
      </w:r>
    </w:p>
    <w:p w:rsidR="00C220F9" w:rsidRDefault="00C220F9" w:rsidP="00C220F9">
      <w:pPr>
        <w:spacing w:after="0" w:line="240" w:lineRule="auto"/>
        <w:jc w:val="both"/>
        <w:rPr>
          <w:rFonts w:ascii="Times New Roman" w:hAnsi="Times New Roman" w:cs="Times New Roman"/>
          <w:sz w:val="24"/>
          <w:szCs w:val="24"/>
        </w:rPr>
      </w:pPr>
    </w:p>
    <w:p w:rsidR="00C65103" w:rsidRPr="00C65103" w:rsidRDefault="004E7577" w:rsidP="00C22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also important to highlight that i</w:t>
      </w:r>
      <w:r w:rsidR="00C65103" w:rsidRPr="00C65103">
        <w:rPr>
          <w:rFonts w:ascii="Times New Roman" w:hAnsi="Times New Roman" w:cs="Times New Roman"/>
          <w:sz w:val="24"/>
          <w:szCs w:val="24"/>
        </w:rPr>
        <w:t xml:space="preserve">nnovation performance at enterprise level is strongly influenced by their previous </w:t>
      </w:r>
      <w:r w:rsidR="00C65103" w:rsidRPr="00C65103">
        <w:rPr>
          <w:rFonts w:ascii="Times New Roman" w:hAnsi="Times New Roman" w:cs="Times New Roman"/>
          <w:i/>
          <w:sz w:val="24"/>
          <w:szCs w:val="24"/>
        </w:rPr>
        <w:t>innovation-related activities</w:t>
      </w:r>
      <w:r w:rsidR="00C65103" w:rsidRPr="00C65103">
        <w:rPr>
          <w:rFonts w:ascii="Times New Roman" w:hAnsi="Times New Roman" w:cs="Times New Roman"/>
          <w:sz w:val="24"/>
          <w:szCs w:val="24"/>
        </w:rPr>
        <w:t xml:space="preserve">. Table 14 shows how the </w:t>
      </w:r>
      <w:r w:rsidR="00FC10FD" w:rsidRPr="00FC10FD">
        <w:rPr>
          <w:rFonts w:ascii="Times New Roman" w:hAnsi="Times New Roman" w:cs="Times New Roman"/>
          <w:sz w:val="24"/>
          <w:szCs w:val="24"/>
          <w:highlight w:val="yellow"/>
        </w:rPr>
        <w:t>percentage?</w:t>
      </w:r>
      <w:r w:rsidR="00C65103" w:rsidRPr="00C65103">
        <w:rPr>
          <w:rFonts w:ascii="Times New Roman" w:hAnsi="Times New Roman" w:cs="Times New Roman"/>
          <w:sz w:val="24"/>
          <w:szCs w:val="24"/>
        </w:rPr>
        <w:t xml:space="preserve"> of firms performing activities of different types of innovation </w:t>
      </w:r>
      <w:r w:rsidR="00D54894">
        <w:rPr>
          <w:rFonts w:ascii="Times New Roman" w:hAnsi="Times New Roman" w:cs="Times New Roman"/>
          <w:sz w:val="24"/>
          <w:szCs w:val="24"/>
        </w:rPr>
        <w:t>has</w:t>
      </w:r>
      <w:r w:rsidR="00C65103" w:rsidRPr="00C65103">
        <w:rPr>
          <w:rFonts w:ascii="Times New Roman" w:hAnsi="Times New Roman" w:cs="Times New Roman"/>
          <w:sz w:val="24"/>
          <w:szCs w:val="24"/>
        </w:rPr>
        <w:t xml:space="preserve"> changed from 2011 to 2014. </w:t>
      </w:r>
    </w:p>
    <w:p w:rsidR="00C65103" w:rsidRPr="00C65103" w:rsidRDefault="00C65103" w:rsidP="00C65103">
      <w:pPr>
        <w:keepNext/>
        <w:spacing w:after="0" w:line="240" w:lineRule="auto"/>
        <w:rPr>
          <w:rFonts w:ascii="Times New Roman" w:hAnsi="Times New Roman" w:cs="Times New Roman"/>
          <w:sz w:val="24"/>
          <w:szCs w:val="24"/>
        </w:rPr>
      </w:pPr>
      <w:r w:rsidRPr="00C65103">
        <w:rPr>
          <w:rFonts w:ascii="Times New Roman" w:hAnsi="Times New Roman" w:cs="Times New Roman"/>
          <w:bCs/>
          <w:i/>
          <w:sz w:val="24"/>
          <w:szCs w:val="24"/>
          <w:lang w:eastAsia="hu-HU"/>
        </w:rPr>
        <w:tab/>
      </w:r>
    </w:p>
    <w:p w:rsidR="00C65103" w:rsidRPr="00852910" w:rsidRDefault="00C65103" w:rsidP="00C65103">
      <w:pPr>
        <w:spacing w:after="0" w:line="240" w:lineRule="auto"/>
        <w:jc w:val="center"/>
        <w:rPr>
          <w:rFonts w:ascii="Times New Roman" w:eastAsia="Times New Roman" w:hAnsi="Times New Roman" w:cs="Times New Roman"/>
          <w:sz w:val="24"/>
          <w:szCs w:val="24"/>
          <w:lang w:eastAsia="hu-HU"/>
        </w:rPr>
      </w:pPr>
      <w:r w:rsidRPr="00852910">
        <w:rPr>
          <w:rFonts w:ascii="Times New Roman" w:eastAsia="Times New Roman" w:hAnsi="Times New Roman" w:cs="Times New Roman"/>
          <w:sz w:val="24"/>
          <w:szCs w:val="24"/>
          <w:lang w:eastAsia="hu-HU"/>
        </w:rPr>
        <w:t>Table 14</w:t>
      </w:r>
      <w:r w:rsidR="009B57C2">
        <w:rPr>
          <w:rFonts w:ascii="Times New Roman" w:eastAsia="Times New Roman" w:hAnsi="Times New Roman" w:cs="Times New Roman"/>
          <w:sz w:val="24"/>
          <w:szCs w:val="24"/>
          <w:lang w:eastAsia="hu-HU"/>
        </w:rPr>
        <w:t>.</w:t>
      </w:r>
      <w:r w:rsidR="00C220F9" w:rsidRPr="00852910">
        <w:rPr>
          <w:rFonts w:ascii="Times New Roman" w:eastAsia="Times New Roman" w:hAnsi="Times New Roman" w:cs="Times New Roman"/>
          <w:sz w:val="24"/>
          <w:szCs w:val="24"/>
          <w:lang w:eastAsia="hu-HU"/>
        </w:rPr>
        <w:t xml:space="preserve"> </w:t>
      </w:r>
      <w:r w:rsidRPr="00852910">
        <w:rPr>
          <w:rFonts w:ascii="Times New Roman" w:eastAsia="Times New Roman" w:hAnsi="Times New Roman" w:cs="Times New Roman"/>
          <w:sz w:val="24"/>
          <w:szCs w:val="24"/>
          <w:lang w:eastAsia="hu-HU"/>
        </w:rPr>
        <w:t xml:space="preserve"> Innovation-related activities at innovation-active organisations in Industry (%)</w:t>
      </w:r>
    </w:p>
    <w:tbl>
      <w:tblPr>
        <w:tblStyle w:val="GridTable1Light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850"/>
      </w:tblGrid>
      <w:tr w:rsidR="00C65103" w:rsidRPr="00C65103" w:rsidTr="00C651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12" w:type="dxa"/>
            <w:tcBorders>
              <w:bottom w:val="none" w:sz="0" w:space="0" w:color="auto"/>
            </w:tcBorders>
            <w:noWrap/>
            <w:hideMark/>
          </w:tcPr>
          <w:p w:rsidR="00C65103" w:rsidRPr="00B524BA" w:rsidRDefault="00C65103" w:rsidP="00C65103">
            <w:pPr>
              <w:jc w:val="center"/>
              <w:rPr>
                <w:rFonts w:ascii="Times New Roman" w:eastAsia="Times New Roman" w:hAnsi="Times New Roman" w:cs="Times New Roman"/>
                <w:b w:val="0"/>
                <w:i/>
                <w:sz w:val="20"/>
                <w:szCs w:val="20"/>
                <w:lang w:eastAsia="hu-HU"/>
              </w:rPr>
            </w:pPr>
            <w:r w:rsidRPr="00B524BA">
              <w:rPr>
                <w:rFonts w:ascii="Times New Roman" w:eastAsia="Times New Roman" w:hAnsi="Times New Roman" w:cs="Times New Roman"/>
                <w:b w:val="0"/>
                <w:i/>
                <w:sz w:val="20"/>
                <w:szCs w:val="20"/>
                <w:lang w:eastAsia="hu-HU"/>
              </w:rPr>
              <w:t>Types of innovation activities</w:t>
            </w:r>
          </w:p>
        </w:tc>
        <w:tc>
          <w:tcPr>
            <w:tcW w:w="851" w:type="dxa"/>
            <w:tcBorders>
              <w:bottom w:val="none" w:sz="0" w:space="0" w:color="auto"/>
            </w:tcBorders>
            <w:noWrap/>
          </w:tcPr>
          <w:p w:rsidR="00C65103" w:rsidRPr="00B524BA" w:rsidRDefault="00C65103" w:rsidP="00C6510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2011</w:t>
            </w:r>
          </w:p>
        </w:tc>
        <w:tc>
          <w:tcPr>
            <w:tcW w:w="850" w:type="dxa"/>
            <w:tcBorders>
              <w:bottom w:val="none" w:sz="0" w:space="0" w:color="auto"/>
            </w:tcBorders>
            <w:noWrap/>
          </w:tcPr>
          <w:p w:rsidR="00C65103" w:rsidRPr="00B524BA" w:rsidRDefault="00C65103" w:rsidP="00C65103">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hu-HU"/>
              </w:rPr>
            </w:pPr>
            <w:r w:rsidRPr="00B524BA">
              <w:rPr>
                <w:rFonts w:ascii="Times New Roman" w:eastAsia="Times New Roman" w:hAnsi="Times New Roman" w:cs="Times New Roman"/>
                <w:b w:val="0"/>
                <w:sz w:val="20"/>
                <w:szCs w:val="20"/>
                <w:lang w:eastAsia="hu-HU"/>
              </w:rPr>
              <w:t>2014</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R&amp;D of new products, services and methods of new processes (either adoptation or development)</w:t>
            </w:r>
          </w:p>
        </w:tc>
        <w:tc>
          <w:tcPr>
            <w:tcW w:w="851"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56</w:t>
            </w:r>
          </w:p>
        </w:tc>
        <w:tc>
          <w:tcPr>
            <w:tcW w:w="850"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29</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Acquisition of machinery and equipment linked to technological innovation</w:t>
            </w:r>
          </w:p>
        </w:tc>
        <w:tc>
          <w:tcPr>
            <w:tcW w:w="851"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55</w:t>
            </w:r>
          </w:p>
        </w:tc>
        <w:tc>
          <w:tcPr>
            <w:tcW w:w="850"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53</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Production designing, other pre-production activities for introducing new products or services or methods of their production (transfer)</w:t>
            </w:r>
          </w:p>
        </w:tc>
        <w:tc>
          <w:tcPr>
            <w:tcW w:w="851"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38</w:t>
            </w:r>
          </w:p>
        </w:tc>
        <w:tc>
          <w:tcPr>
            <w:tcW w:w="850" w:type="dxa"/>
            <w:noWrap/>
            <w:hideMark/>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54</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Training, retraining and advanced training linked to technological innovations</w:t>
            </w:r>
          </w:p>
        </w:tc>
        <w:tc>
          <w:tcPr>
            <w:tcW w:w="851"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13</w:t>
            </w:r>
          </w:p>
        </w:tc>
        <w:tc>
          <w:tcPr>
            <w:tcW w:w="850"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Marketing research linked to technological innovation</w:t>
            </w:r>
          </w:p>
        </w:tc>
        <w:tc>
          <w:tcPr>
            <w:tcW w:w="851"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9</w:t>
            </w:r>
          </w:p>
        </w:tc>
        <w:tc>
          <w:tcPr>
            <w:tcW w:w="850"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10</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Other expenditures on technological innovation</w:t>
            </w:r>
          </w:p>
        </w:tc>
        <w:tc>
          <w:tcPr>
            <w:tcW w:w="851"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5</w:t>
            </w:r>
          </w:p>
        </w:tc>
        <w:tc>
          <w:tcPr>
            <w:tcW w:w="850"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9</w:t>
            </w:r>
          </w:p>
        </w:tc>
      </w:tr>
      <w:tr w:rsidR="00FC10FD" w:rsidRPr="00C65103" w:rsidTr="00C65103">
        <w:trPr>
          <w:trHeight w:val="255"/>
        </w:trPr>
        <w:tc>
          <w:tcPr>
            <w:cnfStyle w:val="001000000000" w:firstRow="0" w:lastRow="0" w:firstColumn="1" w:lastColumn="0" w:oddVBand="0" w:evenVBand="0" w:oddHBand="0" w:evenHBand="0" w:firstRowFirstColumn="0" w:firstRowLastColumn="0" w:lastRowFirstColumn="0" w:lastRowLastColumn="0"/>
            <w:tcW w:w="6912" w:type="dxa"/>
            <w:noWrap/>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Acquisition of new and high technologies</w:t>
            </w:r>
          </w:p>
        </w:tc>
        <w:tc>
          <w:tcPr>
            <w:tcW w:w="851"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2</w:t>
            </w:r>
          </w:p>
        </w:tc>
        <w:tc>
          <w:tcPr>
            <w:tcW w:w="850" w:type="dxa"/>
            <w:noWrap/>
          </w:tcPr>
          <w:p w:rsidR="00FC10FD" w:rsidRPr="00C65103"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C65103">
              <w:rPr>
                <w:rFonts w:ascii="Times New Roman" w:eastAsia="Times New Roman" w:hAnsi="Times New Roman" w:cs="Times New Roman"/>
                <w:sz w:val="20"/>
                <w:szCs w:val="20"/>
                <w:lang w:eastAsia="hu-HU"/>
              </w:rPr>
              <w:t>3</w:t>
            </w:r>
          </w:p>
        </w:tc>
      </w:tr>
      <w:tr w:rsidR="00FC10FD" w:rsidRPr="00C65103" w:rsidTr="00C37F37">
        <w:trPr>
          <w:trHeight w:val="255"/>
        </w:trPr>
        <w:tc>
          <w:tcPr>
            <w:cnfStyle w:val="001000000000" w:firstRow="0" w:lastRow="0" w:firstColumn="1" w:lastColumn="0" w:oddVBand="0" w:evenVBand="0" w:oddHBand="0" w:evenHBand="0" w:firstRowFirstColumn="0" w:firstRowLastColumn="0" w:lastRowFirstColumn="0" w:lastRowLastColumn="0"/>
            <w:tcW w:w="6912" w:type="dxa"/>
            <w:shd w:val="clear" w:color="auto" w:fill="F2F2F2" w:themeFill="background1" w:themeFillShade="F2"/>
            <w:noWrap/>
            <w:hideMark/>
          </w:tcPr>
          <w:p w:rsidR="00FC10FD" w:rsidRPr="00412747" w:rsidRDefault="00FC10FD" w:rsidP="00C65103">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of which acquisition of property rights to inventions, useful models, industrial </w:t>
            </w:r>
            <w:r w:rsidRPr="00412747">
              <w:rPr>
                <w:rFonts w:ascii="Times New Roman" w:eastAsia="Times New Roman" w:hAnsi="Times New Roman" w:cs="Times New Roman"/>
                <w:b w:val="0"/>
                <w:sz w:val="20"/>
                <w:szCs w:val="20"/>
                <w:lang w:eastAsia="hu-HU"/>
              </w:rPr>
              <w:lastRenderedPageBreak/>
              <w:t>designs, topology of integrated circuits under assignment agreements; acquisition of rights to their use under licence agreements</w:t>
            </w:r>
          </w:p>
        </w:tc>
        <w:tc>
          <w:tcPr>
            <w:tcW w:w="851" w:type="dxa"/>
            <w:shd w:val="clear" w:color="auto" w:fill="F2F2F2" w:themeFill="background1" w:themeFillShade="F2"/>
            <w:noWrap/>
            <w:hideMark/>
          </w:tcPr>
          <w:p w:rsidR="00FC10FD" w:rsidRPr="00B524BA"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lastRenderedPageBreak/>
              <w:t>27</w:t>
            </w:r>
          </w:p>
        </w:tc>
        <w:tc>
          <w:tcPr>
            <w:tcW w:w="850" w:type="dxa"/>
            <w:shd w:val="clear" w:color="auto" w:fill="F2F2F2" w:themeFill="background1" w:themeFillShade="F2"/>
            <w:noWrap/>
            <w:hideMark/>
          </w:tcPr>
          <w:p w:rsidR="00FC10FD" w:rsidRPr="00B524BA" w:rsidRDefault="00FC10FD" w:rsidP="00C651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67</w:t>
            </w:r>
          </w:p>
        </w:tc>
      </w:tr>
      <w:tr w:rsidR="00FC10FD" w:rsidRPr="00C65103" w:rsidTr="00C37F37">
        <w:trPr>
          <w:trHeight w:val="255"/>
        </w:trPr>
        <w:tc>
          <w:tcPr>
            <w:cnfStyle w:val="001000000000" w:firstRow="0" w:lastRow="0" w:firstColumn="1" w:lastColumn="0" w:oddVBand="0" w:evenVBand="0" w:oddHBand="0" w:evenHBand="0" w:firstRowFirstColumn="0" w:firstRowLastColumn="0" w:lastRowFirstColumn="0" w:lastRowLastColumn="0"/>
            <w:tcW w:w="6912" w:type="dxa"/>
            <w:noWrap/>
            <w:hideMark/>
          </w:tcPr>
          <w:p w:rsidR="00FC10FD" w:rsidRPr="00412747" w:rsidRDefault="00EE0F3F" w:rsidP="00EE0F3F">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lastRenderedPageBreak/>
              <w:t>A</w:t>
            </w:r>
            <w:r w:rsidR="00FC10FD" w:rsidRPr="00412747">
              <w:rPr>
                <w:rFonts w:ascii="Times New Roman" w:eastAsia="Times New Roman" w:hAnsi="Times New Roman" w:cs="Times New Roman"/>
                <w:b w:val="0"/>
                <w:sz w:val="20"/>
                <w:szCs w:val="20"/>
                <w:lang w:eastAsia="hu-HU"/>
              </w:rPr>
              <w:t>cquisition of computer software and databases linked to technological innovation</w:t>
            </w:r>
          </w:p>
        </w:tc>
        <w:tc>
          <w:tcPr>
            <w:tcW w:w="851" w:type="dxa"/>
            <w:noWrap/>
            <w:hideMark/>
          </w:tcPr>
          <w:p w:rsidR="00FC10FD" w:rsidRPr="00B524BA" w:rsidRDefault="00FC10FD" w:rsidP="00B524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7</w:t>
            </w:r>
          </w:p>
        </w:tc>
        <w:tc>
          <w:tcPr>
            <w:tcW w:w="850" w:type="dxa"/>
            <w:noWrap/>
            <w:hideMark/>
          </w:tcPr>
          <w:p w:rsidR="00FC10FD" w:rsidRPr="00B524BA" w:rsidRDefault="00FC10FD" w:rsidP="00B524B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hu-HU"/>
              </w:rPr>
            </w:pPr>
            <w:r w:rsidRPr="00B524BA">
              <w:rPr>
                <w:rFonts w:ascii="Times New Roman" w:eastAsia="Times New Roman" w:hAnsi="Times New Roman" w:cs="Times New Roman"/>
                <w:bCs/>
                <w:sz w:val="20"/>
                <w:szCs w:val="20"/>
                <w:lang w:eastAsia="hu-HU"/>
              </w:rPr>
              <w:t>6</w:t>
            </w:r>
          </w:p>
        </w:tc>
      </w:tr>
    </w:tbl>
    <w:p w:rsidR="00C65103" w:rsidRPr="00C65103" w:rsidRDefault="00C65103" w:rsidP="00C65103">
      <w:pPr>
        <w:spacing w:after="0" w:line="240" w:lineRule="auto"/>
        <w:rPr>
          <w:rFonts w:ascii="Times New Roman" w:hAnsi="Times New Roman" w:cs="Times New Roman"/>
          <w:sz w:val="20"/>
          <w:szCs w:val="20"/>
        </w:rPr>
      </w:pPr>
      <w:r w:rsidRPr="00C65103">
        <w:rPr>
          <w:rFonts w:ascii="Times New Roman" w:hAnsi="Times New Roman" w:cs="Times New Roman"/>
          <w:sz w:val="20"/>
          <w:szCs w:val="20"/>
        </w:rPr>
        <w:t>Source: compilation from BelStat Science and Innovation Activity in the Republic of Belarus, Statistical Book, National Committee of the Republic of Belarus, Minsk 2015, table 6.3.</w:t>
      </w:r>
    </w:p>
    <w:p w:rsidR="00933F36" w:rsidRDefault="00933F36" w:rsidP="00C65103">
      <w:pPr>
        <w:spacing w:after="0" w:line="240" w:lineRule="auto"/>
        <w:ind w:firstLine="709"/>
        <w:jc w:val="both"/>
        <w:rPr>
          <w:rFonts w:ascii="Times New Roman" w:eastAsia="Times New Roman" w:hAnsi="Times New Roman" w:cs="Times New Roman"/>
          <w:b/>
          <w:sz w:val="20"/>
          <w:szCs w:val="20"/>
          <w:lang w:eastAsia="hu-HU"/>
        </w:rPr>
      </w:pPr>
    </w:p>
    <w:p w:rsidR="00C65103" w:rsidRPr="00C65103" w:rsidRDefault="00C65103" w:rsidP="00E117A4">
      <w:pPr>
        <w:spacing w:after="0" w:line="240" w:lineRule="auto"/>
        <w:jc w:val="both"/>
        <w:rPr>
          <w:rFonts w:ascii="Times New Roman" w:eastAsia="Times New Roman" w:hAnsi="Times New Roman" w:cs="Times New Roman"/>
          <w:sz w:val="24"/>
          <w:szCs w:val="24"/>
          <w:lang w:eastAsia="hu-HU"/>
        </w:rPr>
      </w:pPr>
      <w:r w:rsidRPr="00C65103">
        <w:rPr>
          <w:rFonts w:ascii="Times New Roman" w:hAnsi="Times New Roman" w:cs="Times New Roman"/>
          <w:sz w:val="24"/>
          <w:szCs w:val="24"/>
        </w:rPr>
        <w:t xml:space="preserve">Among the innovation related activities the </w:t>
      </w:r>
      <w:r w:rsidRPr="00C65103">
        <w:rPr>
          <w:rFonts w:ascii="Times New Roman" w:hAnsi="Times New Roman" w:cs="Times New Roman"/>
          <w:sz w:val="24"/>
          <w:szCs w:val="24"/>
          <w:highlight w:val="yellow"/>
        </w:rPr>
        <w:t>l</w:t>
      </w:r>
      <w:r w:rsidRPr="00C65103">
        <w:rPr>
          <w:rFonts w:ascii="Times New Roman" w:eastAsia="Times New Roman" w:hAnsi="Times New Roman" w:cs="Times New Roman"/>
          <w:sz w:val="24"/>
          <w:szCs w:val="24"/>
          <w:highlight w:val="yellow"/>
          <w:lang w:eastAsia="hu-HU"/>
        </w:rPr>
        <w:t xml:space="preserve">owest </w:t>
      </w:r>
      <w:r w:rsidRPr="00C65103">
        <w:rPr>
          <w:rFonts w:ascii="Times New Roman" w:eastAsia="Times New Roman" w:hAnsi="Times New Roman" w:cs="Times New Roman"/>
          <w:sz w:val="24"/>
          <w:szCs w:val="24"/>
          <w:lang w:eastAsia="hu-HU"/>
        </w:rPr>
        <w:t xml:space="preserve">ranked was </w:t>
      </w:r>
      <w:r w:rsidRPr="00C65103">
        <w:rPr>
          <w:rFonts w:ascii="Times New Roman" w:eastAsia="Times New Roman" w:hAnsi="Times New Roman" w:cs="Times New Roman"/>
          <w:i/>
          <w:sz w:val="24"/>
          <w:szCs w:val="20"/>
          <w:lang w:eastAsia="hu-HU"/>
        </w:rPr>
        <w:t>acquisition of new and high technologies</w:t>
      </w:r>
      <w:r w:rsidRPr="00C65103">
        <w:rPr>
          <w:rFonts w:ascii="Times New Roman" w:eastAsia="Times New Roman" w:hAnsi="Times New Roman" w:cs="Times New Roman"/>
          <w:sz w:val="24"/>
          <w:szCs w:val="20"/>
          <w:lang w:eastAsia="hu-HU"/>
        </w:rPr>
        <w:t>.</w:t>
      </w:r>
      <w:r w:rsidRPr="00C65103">
        <w:rPr>
          <w:rFonts w:ascii="Times New Roman" w:hAnsi="Times New Roman" w:cs="Times New Roman"/>
          <w:sz w:val="24"/>
          <w:szCs w:val="24"/>
        </w:rPr>
        <w:t xml:space="preserve"> Within this group</w:t>
      </w:r>
      <w:r w:rsidR="00117DD1">
        <w:rPr>
          <w:rFonts w:ascii="Times New Roman" w:hAnsi="Times New Roman" w:cs="Times New Roman"/>
          <w:sz w:val="24"/>
          <w:szCs w:val="24"/>
        </w:rPr>
        <w:t>,</w:t>
      </w:r>
      <w:r w:rsidRPr="00C65103">
        <w:rPr>
          <w:rFonts w:ascii="Times New Roman" w:hAnsi="Times New Roman" w:cs="Times New Roman"/>
          <w:sz w:val="24"/>
          <w:szCs w:val="24"/>
        </w:rPr>
        <w:t xml:space="preserve"> the acquisition of property rights to new and high technologies has increased. At the same time </w:t>
      </w:r>
      <w:r w:rsidRPr="00C65103">
        <w:rPr>
          <w:rFonts w:ascii="Times New Roman" w:eastAsia="Times New Roman" w:hAnsi="Times New Roman" w:cs="Times New Roman"/>
          <w:sz w:val="24"/>
          <w:szCs w:val="24"/>
          <w:lang w:eastAsia="hu-HU"/>
        </w:rPr>
        <w:t xml:space="preserve">the </w:t>
      </w:r>
      <w:r w:rsidRPr="00C65103">
        <w:rPr>
          <w:rFonts w:ascii="Times New Roman" w:eastAsia="Times New Roman" w:hAnsi="Times New Roman" w:cs="Times New Roman"/>
          <w:i/>
          <w:sz w:val="24"/>
          <w:szCs w:val="24"/>
          <w:lang w:eastAsia="hu-HU"/>
        </w:rPr>
        <w:t>production design, other preproduction activities</w:t>
      </w:r>
      <w:r w:rsidRPr="00C65103">
        <w:rPr>
          <w:rFonts w:ascii="Times New Roman" w:eastAsia="Times New Roman" w:hAnsi="Times New Roman" w:cs="Times New Roman"/>
          <w:sz w:val="24"/>
          <w:szCs w:val="24"/>
          <w:lang w:eastAsia="hu-HU"/>
        </w:rPr>
        <w:t xml:space="preserve"> for introducing new products, services or methods of production (transfer) heavily increased and became the most important for 2014</w:t>
      </w:r>
      <w:r w:rsidR="00117DD1">
        <w:rPr>
          <w:rFonts w:ascii="Times New Roman" w:eastAsia="Times New Roman" w:hAnsi="Times New Roman" w:cs="Times New Roman"/>
          <w:sz w:val="24"/>
          <w:szCs w:val="24"/>
          <w:lang w:eastAsia="hu-HU"/>
        </w:rPr>
        <w:t>.</w:t>
      </w:r>
      <w:r w:rsidRPr="00C65103">
        <w:rPr>
          <w:rFonts w:ascii="Times New Roman" w:eastAsia="Times New Roman" w:hAnsi="Times New Roman" w:cs="Times New Roman"/>
          <w:sz w:val="24"/>
          <w:szCs w:val="24"/>
          <w:lang w:eastAsia="hu-HU"/>
        </w:rPr>
        <w:t xml:space="preserve"> </w:t>
      </w:r>
      <w:r w:rsidRPr="00C65103">
        <w:rPr>
          <w:rFonts w:ascii="Times New Roman" w:eastAsia="Times New Roman" w:hAnsi="Times New Roman" w:cs="Times New Roman"/>
          <w:i/>
          <w:sz w:val="24"/>
          <w:szCs w:val="24"/>
          <w:lang w:eastAsia="hu-HU"/>
        </w:rPr>
        <w:t>Acquisition of machinery and equipment</w:t>
      </w:r>
      <w:r w:rsidRPr="00C65103">
        <w:rPr>
          <w:rFonts w:ascii="Times New Roman" w:eastAsia="Times New Roman" w:hAnsi="Times New Roman" w:cs="Times New Roman"/>
          <w:sz w:val="24"/>
          <w:szCs w:val="24"/>
          <w:lang w:eastAsia="hu-HU"/>
        </w:rPr>
        <w:t xml:space="preserve"> for technological innovation practically retained its</w:t>
      </w:r>
      <w:r w:rsidR="00EE0F3F">
        <w:rPr>
          <w:rFonts w:ascii="Times New Roman" w:eastAsia="Times New Roman" w:hAnsi="Times New Roman" w:cs="Times New Roman"/>
          <w:sz w:val="24"/>
          <w:szCs w:val="24"/>
          <w:lang w:eastAsia="hu-HU"/>
        </w:rPr>
        <w:t xml:space="preserve"> percentage and ranking</w:t>
      </w:r>
      <w:r w:rsidRPr="00C65103">
        <w:rPr>
          <w:rFonts w:ascii="Times New Roman" w:eastAsia="Times New Roman" w:hAnsi="Times New Roman" w:cs="Times New Roman"/>
          <w:sz w:val="24"/>
          <w:szCs w:val="24"/>
          <w:lang w:eastAsia="hu-HU"/>
        </w:rPr>
        <w:t xml:space="preserve"> position. However</w:t>
      </w:r>
      <w:r w:rsidR="00EE0F3F">
        <w:rPr>
          <w:rFonts w:ascii="Times New Roman" w:eastAsia="Times New Roman" w:hAnsi="Times New Roman" w:cs="Times New Roman"/>
          <w:sz w:val="24"/>
          <w:szCs w:val="24"/>
          <w:lang w:eastAsia="hu-HU"/>
        </w:rPr>
        <w:t>,</w:t>
      </w:r>
      <w:r w:rsidRPr="00C65103">
        <w:rPr>
          <w:rFonts w:ascii="Times New Roman" w:eastAsia="Times New Roman" w:hAnsi="Times New Roman" w:cs="Times New Roman"/>
          <w:sz w:val="24"/>
          <w:szCs w:val="24"/>
          <w:lang w:eastAsia="hu-HU"/>
        </w:rPr>
        <w:t xml:space="preserve"> these activities might be seen as simple modernization (plug-in) and </w:t>
      </w:r>
      <w:r w:rsidR="004E7577">
        <w:rPr>
          <w:rFonts w:ascii="Times New Roman" w:eastAsia="Times New Roman" w:hAnsi="Times New Roman" w:cs="Times New Roman"/>
          <w:sz w:val="24"/>
          <w:szCs w:val="24"/>
          <w:lang w:eastAsia="hu-HU"/>
        </w:rPr>
        <w:t xml:space="preserve">should </w:t>
      </w:r>
      <w:r w:rsidRPr="00C65103">
        <w:rPr>
          <w:rFonts w:ascii="Times New Roman" w:eastAsia="Times New Roman" w:hAnsi="Times New Roman" w:cs="Times New Roman"/>
          <w:sz w:val="24"/>
          <w:szCs w:val="24"/>
          <w:lang w:eastAsia="hu-HU"/>
        </w:rPr>
        <w:t>not</w:t>
      </w:r>
      <w:r w:rsidR="004E7577">
        <w:rPr>
          <w:rFonts w:ascii="Times New Roman" w:eastAsia="Times New Roman" w:hAnsi="Times New Roman" w:cs="Times New Roman"/>
          <w:sz w:val="24"/>
          <w:szCs w:val="24"/>
          <w:lang w:eastAsia="hu-HU"/>
        </w:rPr>
        <w:t xml:space="preserve"> be considered as</w:t>
      </w:r>
      <w:r w:rsidRPr="00C65103">
        <w:rPr>
          <w:rFonts w:ascii="Times New Roman" w:eastAsia="Times New Roman" w:hAnsi="Times New Roman" w:cs="Times New Roman"/>
          <w:sz w:val="24"/>
          <w:szCs w:val="24"/>
          <w:lang w:eastAsia="hu-HU"/>
        </w:rPr>
        <w:t xml:space="preserve"> process innovation according to international standards measuring innovation (see Chapter 3).</w:t>
      </w:r>
    </w:p>
    <w:p w:rsidR="00FC10FD" w:rsidRPr="00E117A4" w:rsidRDefault="00FC10FD" w:rsidP="00E117A4">
      <w:pPr>
        <w:spacing w:after="0" w:line="240" w:lineRule="auto"/>
        <w:jc w:val="both"/>
        <w:rPr>
          <w:rFonts w:ascii="Times New Roman" w:hAnsi="Times New Roman" w:cs="Times New Roman"/>
          <w:sz w:val="24"/>
          <w:szCs w:val="24"/>
        </w:rPr>
      </w:pPr>
    </w:p>
    <w:p w:rsidR="00FC10FD" w:rsidRDefault="00C65103" w:rsidP="00E117A4">
      <w:pPr>
        <w:spacing w:after="0" w:line="240" w:lineRule="auto"/>
        <w:jc w:val="both"/>
        <w:rPr>
          <w:rFonts w:ascii="Times New Roman" w:hAnsi="Times New Roman" w:cs="Times New Roman"/>
          <w:sz w:val="24"/>
          <w:szCs w:val="24"/>
        </w:rPr>
      </w:pPr>
      <w:r w:rsidRPr="00E117A4">
        <w:rPr>
          <w:rFonts w:ascii="Times New Roman" w:hAnsi="Times New Roman" w:cs="Times New Roman"/>
          <w:i/>
          <w:sz w:val="24"/>
          <w:szCs w:val="24"/>
        </w:rPr>
        <w:t>R&amp;D of new products</w:t>
      </w:r>
      <w:r w:rsidRPr="00E117A4">
        <w:rPr>
          <w:rFonts w:ascii="Times New Roman" w:hAnsi="Times New Roman" w:cs="Times New Roman"/>
          <w:sz w:val="24"/>
          <w:szCs w:val="24"/>
        </w:rPr>
        <w:t xml:space="preserve"> w</w:t>
      </w:r>
      <w:r w:rsidRPr="00C65103">
        <w:rPr>
          <w:rFonts w:ascii="Times New Roman" w:hAnsi="Times New Roman" w:cs="Times New Roman"/>
          <w:sz w:val="24"/>
          <w:szCs w:val="24"/>
        </w:rPr>
        <w:t>as largest in 2011</w:t>
      </w:r>
      <w:r w:rsidR="00EE0F3F">
        <w:rPr>
          <w:rFonts w:ascii="Times New Roman" w:hAnsi="Times New Roman" w:cs="Times New Roman"/>
          <w:sz w:val="24"/>
          <w:szCs w:val="24"/>
        </w:rPr>
        <w:t>,</w:t>
      </w:r>
      <w:r w:rsidRPr="00C65103">
        <w:rPr>
          <w:rFonts w:ascii="Times New Roman" w:hAnsi="Times New Roman" w:cs="Times New Roman"/>
          <w:sz w:val="24"/>
          <w:szCs w:val="24"/>
        </w:rPr>
        <w:t xml:space="preserve"> but</w:t>
      </w:r>
      <w:r w:rsidR="00EE0F3F">
        <w:rPr>
          <w:rFonts w:ascii="Times New Roman" w:hAnsi="Times New Roman" w:cs="Times New Roman"/>
          <w:sz w:val="24"/>
          <w:szCs w:val="24"/>
        </w:rPr>
        <w:t xml:space="preserve"> it</w:t>
      </w:r>
      <w:r w:rsidRPr="00C65103">
        <w:rPr>
          <w:rFonts w:ascii="Times New Roman" w:hAnsi="Times New Roman" w:cs="Times New Roman"/>
          <w:sz w:val="24"/>
          <w:szCs w:val="24"/>
        </w:rPr>
        <w:t xml:space="preserve"> decreased sharply by 2014. As discussed </w:t>
      </w:r>
      <w:r w:rsidR="00EE0F3F">
        <w:rPr>
          <w:rFonts w:ascii="Times New Roman" w:hAnsi="Times New Roman" w:cs="Times New Roman"/>
          <w:sz w:val="24"/>
          <w:szCs w:val="24"/>
        </w:rPr>
        <w:t>above,</w:t>
      </w:r>
      <w:r w:rsidRPr="00C65103">
        <w:rPr>
          <w:rFonts w:ascii="Times New Roman" w:hAnsi="Times New Roman" w:cs="Times New Roman"/>
          <w:sz w:val="24"/>
          <w:szCs w:val="24"/>
        </w:rPr>
        <w:t xml:space="preserve"> R&amp; D is only one type of innovation activity and for many firms it is not the most important. </w:t>
      </w:r>
      <w:r w:rsidR="00605BE6">
        <w:rPr>
          <w:rFonts w:ascii="Times New Roman" w:hAnsi="Times New Roman" w:cs="Times New Roman"/>
          <w:sz w:val="24"/>
          <w:szCs w:val="24"/>
        </w:rPr>
        <w:t xml:space="preserve"> On the other hand, m</w:t>
      </w:r>
      <w:r w:rsidRPr="00EE0F3F">
        <w:rPr>
          <w:rFonts w:ascii="Times New Roman" w:hAnsi="Times New Roman" w:cs="Times New Roman"/>
          <w:sz w:val="24"/>
          <w:szCs w:val="24"/>
        </w:rPr>
        <w:t>any incremental innovations are</w:t>
      </w:r>
      <w:r w:rsidRPr="00C65103">
        <w:rPr>
          <w:rFonts w:ascii="Times New Roman" w:hAnsi="Times New Roman" w:cs="Times New Roman"/>
          <w:sz w:val="24"/>
          <w:szCs w:val="24"/>
        </w:rPr>
        <w:t xml:space="preserve"> very important for any enterprise to improve its competitiveness or at least not lose their market. The sources of such innovation may originate from non-R&amp;D persons within the company or be initiated by suppliers, buyers or </w:t>
      </w:r>
      <w:r w:rsidR="00EE0F3F">
        <w:rPr>
          <w:rFonts w:ascii="Times New Roman" w:hAnsi="Times New Roman" w:cs="Times New Roman"/>
          <w:sz w:val="24"/>
          <w:szCs w:val="24"/>
        </w:rPr>
        <w:t>the result of</w:t>
      </w:r>
      <w:r w:rsidRPr="00C65103">
        <w:rPr>
          <w:rFonts w:ascii="Times New Roman" w:hAnsi="Times New Roman" w:cs="Times New Roman"/>
          <w:sz w:val="24"/>
          <w:szCs w:val="24"/>
        </w:rPr>
        <w:t xml:space="preserve"> adaptation</w:t>
      </w:r>
      <w:r w:rsidR="00933F36">
        <w:rPr>
          <w:rFonts w:ascii="Times New Roman" w:hAnsi="Times New Roman" w:cs="Times New Roman"/>
          <w:sz w:val="24"/>
          <w:szCs w:val="24"/>
        </w:rPr>
        <w:t>s</w:t>
      </w:r>
      <w:r w:rsidRPr="00C65103">
        <w:rPr>
          <w:rFonts w:ascii="Times New Roman" w:hAnsi="Times New Roman" w:cs="Times New Roman"/>
          <w:sz w:val="24"/>
          <w:szCs w:val="24"/>
        </w:rPr>
        <w:t xml:space="preserve">. </w:t>
      </w:r>
    </w:p>
    <w:p w:rsidR="00933F36" w:rsidRDefault="00933F36" w:rsidP="00933F36">
      <w:pPr>
        <w:spacing w:after="0" w:line="240" w:lineRule="auto"/>
        <w:ind w:firstLine="709"/>
        <w:jc w:val="both"/>
        <w:rPr>
          <w:rFonts w:ascii="Times New Roman" w:hAnsi="Times New Roman" w:cs="Times New Roman"/>
          <w:sz w:val="24"/>
          <w:szCs w:val="24"/>
        </w:rPr>
      </w:pPr>
    </w:p>
    <w:p w:rsidR="00E117A4" w:rsidRPr="00E117A4" w:rsidRDefault="00CB4AC5" w:rsidP="00E117A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With regards to the typology of innovations, i</w:t>
      </w:r>
      <w:r w:rsidR="00E117A4" w:rsidRPr="00E117A4">
        <w:rPr>
          <w:rFonts w:ascii="Times New Roman" w:hAnsi="Times New Roman" w:cs="Times New Roman"/>
          <w:sz w:val="24"/>
          <w:szCs w:val="24"/>
        </w:rPr>
        <w:t>n industry the number of product and process innovators slightly increased from 2010 to 2015 (from 324 to 342), whilst those numbers involved in organizational or marketing innovation was around double in 2010 than in 2015</w:t>
      </w:r>
      <w:r w:rsidR="00E117A4" w:rsidRPr="00E117A4">
        <w:rPr>
          <w:rFonts w:ascii="Times New Roman" w:hAnsi="Times New Roman" w:cs="Times New Roman"/>
          <w:color w:val="FF0000"/>
          <w:sz w:val="24"/>
          <w:szCs w:val="24"/>
        </w:rPr>
        <w:t xml:space="preserve"> </w:t>
      </w:r>
      <w:r w:rsidR="00E117A4" w:rsidRPr="00E117A4">
        <w:rPr>
          <w:rFonts w:ascii="Times New Roman" w:hAnsi="Times New Roman" w:cs="Times New Roman"/>
          <w:sz w:val="24"/>
          <w:szCs w:val="24"/>
        </w:rPr>
        <w:t>(table 15).</w:t>
      </w:r>
    </w:p>
    <w:p w:rsidR="00E117A4" w:rsidRPr="00E117A4" w:rsidRDefault="00E117A4" w:rsidP="00E117A4">
      <w:pPr>
        <w:spacing w:after="0" w:line="240" w:lineRule="auto"/>
        <w:rPr>
          <w:rFonts w:ascii="Times New Roman" w:hAnsi="Times New Roman" w:cs="Times New Roman"/>
          <w:color w:val="FF0000"/>
          <w:sz w:val="24"/>
          <w:szCs w:val="24"/>
        </w:rPr>
      </w:pPr>
    </w:p>
    <w:p w:rsidR="00E117A4" w:rsidRPr="00852910" w:rsidRDefault="00E117A4" w:rsidP="00E117A4">
      <w:pPr>
        <w:spacing w:after="0" w:line="240" w:lineRule="auto"/>
        <w:jc w:val="center"/>
        <w:rPr>
          <w:rFonts w:ascii="Times New Roman" w:hAnsi="Times New Roman" w:cs="Times New Roman"/>
          <w:sz w:val="24"/>
          <w:szCs w:val="24"/>
        </w:rPr>
      </w:pPr>
      <w:r w:rsidRPr="00852910">
        <w:rPr>
          <w:rFonts w:ascii="Times New Roman" w:hAnsi="Times New Roman" w:cs="Times New Roman"/>
          <w:sz w:val="24"/>
          <w:szCs w:val="24"/>
        </w:rPr>
        <w:t>Table 15 Number of industry organizations engaged in innovation by type</w:t>
      </w:r>
    </w:p>
    <w:tbl>
      <w:tblPr>
        <w:tblStyle w:val="TableGrid2"/>
        <w:tblW w:w="0" w:type="auto"/>
        <w:tblLook w:val="04A0" w:firstRow="1" w:lastRow="0" w:firstColumn="1" w:lastColumn="0" w:noHBand="0" w:noVBand="1"/>
      </w:tblPr>
      <w:tblGrid>
        <w:gridCol w:w="3304"/>
        <w:gridCol w:w="2969"/>
        <w:gridCol w:w="2969"/>
      </w:tblGrid>
      <w:tr w:rsidR="00E117A4" w:rsidRPr="00E117A4" w:rsidTr="00C37F37">
        <w:tc>
          <w:tcPr>
            <w:tcW w:w="3318" w:type="dxa"/>
          </w:tcPr>
          <w:p w:rsidR="00E117A4" w:rsidRPr="00B524BA" w:rsidRDefault="00E117A4" w:rsidP="00E117A4">
            <w:pPr>
              <w:rPr>
                <w:rFonts w:ascii="Times New Roman" w:hAnsi="Times New Roman" w:cs="Times New Roman"/>
                <w:sz w:val="20"/>
                <w:szCs w:val="20"/>
              </w:rPr>
            </w:pPr>
            <w:r w:rsidRPr="00B524BA">
              <w:rPr>
                <w:rFonts w:ascii="Times New Roman" w:hAnsi="Times New Roman" w:cs="Times New Roman"/>
                <w:sz w:val="20"/>
                <w:szCs w:val="20"/>
              </w:rPr>
              <w:t>Types of innovations</w:t>
            </w:r>
          </w:p>
        </w:tc>
        <w:tc>
          <w:tcPr>
            <w:tcW w:w="2985" w:type="dxa"/>
          </w:tcPr>
          <w:p w:rsidR="00E117A4" w:rsidRPr="00B524BA" w:rsidRDefault="00E117A4" w:rsidP="00E117A4">
            <w:pPr>
              <w:jc w:val="center"/>
              <w:rPr>
                <w:rFonts w:ascii="Times New Roman" w:hAnsi="Times New Roman" w:cs="Times New Roman"/>
                <w:sz w:val="20"/>
                <w:szCs w:val="20"/>
              </w:rPr>
            </w:pPr>
            <w:r w:rsidRPr="00B524BA">
              <w:rPr>
                <w:rFonts w:ascii="Times New Roman" w:hAnsi="Times New Roman" w:cs="Times New Roman"/>
                <w:sz w:val="20"/>
                <w:szCs w:val="20"/>
              </w:rPr>
              <w:t>2010</w:t>
            </w:r>
          </w:p>
        </w:tc>
        <w:tc>
          <w:tcPr>
            <w:tcW w:w="2985" w:type="dxa"/>
          </w:tcPr>
          <w:p w:rsidR="00E117A4" w:rsidRPr="00B524BA" w:rsidRDefault="00E117A4" w:rsidP="00E117A4">
            <w:pPr>
              <w:jc w:val="center"/>
              <w:rPr>
                <w:rFonts w:ascii="Times New Roman" w:hAnsi="Times New Roman" w:cs="Times New Roman"/>
                <w:sz w:val="20"/>
                <w:szCs w:val="20"/>
              </w:rPr>
            </w:pPr>
            <w:r w:rsidRPr="00B524BA">
              <w:rPr>
                <w:rFonts w:ascii="Times New Roman" w:hAnsi="Times New Roman" w:cs="Times New Roman"/>
                <w:sz w:val="20"/>
                <w:szCs w:val="20"/>
              </w:rPr>
              <w:t>2015</w:t>
            </w:r>
          </w:p>
        </w:tc>
      </w:tr>
      <w:tr w:rsidR="00E117A4" w:rsidRPr="00E117A4" w:rsidTr="00C37F37">
        <w:tc>
          <w:tcPr>
            <w:tcW w:w="3318" w:type="dxa"/>
          </w:tcPr>
          <w:p w:rsidR="00E117A4" w:rsidRPr="00E117A4" w:rsidRDefault="00E117A4" w:rsidP="00E117A4">
            <w:pPr>
              <w:rPr>
                <w:rFonts w:ascii="Times New Roman" w:hAnsi="Times New Roman" w:cs="Times New Roman"/>
                <w:sz w:val="20"/>
                <w:szCs w:val="20"/>
              </w:rPr>
            </w:pPr>
            <w:r w:rsidRPr="00E117A4">
              <w:rPr>
                <w:rFonts w:ascii="Times New Roman" w:hAnsi="Times New Roman" w:cs="Times New Roman"/>
                <w:sz w:val="20"/>
                <w:szCs w:val="20"/>
              </w:rPr>
              <w:t>Product and process innovations</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324</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342</w:t>
            </w:r>
          </w:p>
        </w:tc>
      </w:tr>
      <w:tr w:rsidR="00E117A4" w:rsidRPr="00E117A4" w:rsidTr="00C37F37">
        <w:tc>
          <w:tcPr>
            <w:tcW w:w="3318" w:type="dxa"/>
          </w:tcPr>
          <w:p w:rsidR="00E117A4" w:rsidRPr="00E117A4" w:rsidRDefault="00E117A4" w:rsidP="00E117A4">
            <w:pPr>
              <w:rPr>
                <w:rFonts w:ascii="Times New Roman" w:hAnsi="Times New Roman" w:cs="Times New Roman"/>
                <w:sz w:val="20"/>
                <w:szCs w:val="20"/>
              </w:rPr>
            </w:pPr>
            <w:r w:rsidRPr="00E117A4">
              <w:rPr>
                <w:rFonts w:ascii="Times New Roman" w:hAnsi="Times New Roman" w:cs="Times New Roman"/>
                <w:sz w:val="20"/>
                <w:szCs w:val="20"/>
              </w:rPr>
              <w:t>Organizational innovations</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92</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43</w:t>
            </w:r>
          </w:p>
        </w:tc>
      </w:tr>
      <w:tr w:rsidR="00E117A4" w:rsidRPr="00E117A4" w:rsidTr="00C37F37">
        <w:tc>
          <w:tcPr>
            <w:tcW w:w="3318" w:type="dxa"/>
          </w:tcPr>
          <w:p w:rsidR="00E117A4" w:rsidRPr="00E117A4" w:rsidRDefault="00E117A4" w:rsidP="00E117A4">
            <w:pPr>
              <w:rPr>
                <w:rFonts w:ascii="Times New Roman" w:hAnsi="Times New Roman" w:cs="Times New Roman"/>
                <w:sz w:val="20"/>
                <w:szCs w:val="20"/>
              </w:rPr>
            </w:pPr>
            <w:r w:rsidRPr="00E117A4">
              <w:rPr>
                <w:rFonts w:ascii="Times New Roman" w:hAnsi="Times New Roman" w:cs="Times New Roman"/>
                <w:sz w:val="20"/>
                <w:szCs w:val="20"/>
              </w:rPr>
              <w:t>Marketing innovations</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113</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61</w:t>
            </w:r>
          </w:p>
        </w:tc>
      </w:tr>
      <w:tr w:rsidR="00E117A4" w:rsidRPr="00E117A4" w:rsidTr="004E7577">
        <w:trPr>
          <w:trHeight w:val="185"/>
        </w:trPr>
        <w:tc>
          <w:tcPr>
            <w:tcW w:w="3318" w:type="dxa"/>
          </w:tcPr>
          <w:p w:rsidR="00E117A4" w:rsidRPr="00E117A4" w:rsidRDefault="00E117A4" w:rsidP="00E117A4">
            <w:pPr>
              <w:rPr>
                <w:rFonts w:ascii="Times New Roman" w:hAnsi="Times New Roman" w:cs="Times New Roman"/>
                <w:sz w:val="20"/>
                <w:szCs w:val="20"/>
              </w:rPr>
            </w:pPr>
            <w:r w:rsidRPr="00E117A4">
              <w:rPr>
                <w:rFonts w:ascii="Times New Roman" w:hAnsi="Times New Roman" w:cs="Times New Roman"/>
                <w:sz w:val="20"/>
                <w:szCs w:val="20"/>
              </w:rPr>
              <w:t>All innovative firms (with one or more types</w:t>
            </w:r>
            <w:r w:rsidR="008647AD">
              <w:rPr>
                <w:rFonts w:ascii="Times New Roman" w:hAnsi="Times New Roman" w:cs="Times New Roman"/>
                <w:sz w:val="20"/>
                <w:szCs w:val="20"/>
              </w:rPr>
              <w:t>)</w:t>
            </w:r>
            <w:r w:rsidRPr="00E117A4">
              <w:rPr>
                <w:rFonts w:ascii="Times New Roman" w:hAnsi="Times New Roman" w:cs="Times New Roman"/>
                <w:sz w:val="20"/>
                <w:szCs w:val="20"/>
              </w:rPr>
              <w:t xml:space="preserve"> </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381</w:t>
            </w:r>
          </w:p>
        </w:tc>
        <w:tc>
          <w:tcPr>
            <w:tcW w:w="2985" w:type="dxa"/>
          </w:tcPr>
          <w:p w:rsidR="00E117A4" w:rsidRPr="00E117A4" w:rsidRDefault="00E117A4" w:rsidP="00E117A4">
            <w:pPr>
              <w:jc w:val="center"/>
              <w:rPr>
                <w:rFonts w:ascii="Times New Roman" w:hAnsi="Times New Roman" w:cs="Times New Roman"/>
                <w:sz w:val="20"/>
                <w:szCs w:val="20"/>
              </w:rPr>
            </w:pPr>
            <w:r w:rsidRPr="00E117A4">
              <w:rPr>
                <w:rFonts w:ascii="Times New Roman" w:hAnsi="Times New Roman" w:cs="Times New Roman"/>
                <w:sz w:val="20"/>
                <w:szCs w:val="20"/>
              </w:rPr>
              <w:t>369</w:t>
            </w:r>
          </w:p>
        </w:tc>
      </w:tr>
    </w:tbl>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 xml:space="preserve">Source: </w:t>
      </w:r>
      <w:r w:rsidR="00605BE6">
        <w:rPr>
          <w:rFonts w:ascii="Times New Roman" w:hAnsi="Times New Roman" w:cs="Times New Roman"/>
          <w:sz w:val="20"/>
          <w:szCs w:val="20"/>
        </w:rPr>
        <w:t>c</w:t>
      </w:r>
      <w:r w:rsidRPr="00E117A4">
        <w:rPr>
          <w:rFonts w:ascii="Times New Roman" w:hAnsi="Times New Roman" w:cs="Times New Roman"/>
          <w:sz w:val="20"/>
          <w:szCs w:val="20"/>
        </w:rPr>
        <w:t xml:space="preserve">ompilation from BelStat </w:t>
      </w:r>
      <w:r w:rsidR="00CB4AC5">
        <w:rPr>
          <w:rFonts w:ascii="Times New Roman" w:hAnsi="Times New Roman" w:cs="Times New Roman"/>
          <w:sz w:val="20"/>
          <w:szCs w:val="20"/>
        </w:rPr>
        <w:t>statistics.</w:t>
      </w:r>
    </w:p>
    <w:p w:rsidR="00E117A4" w:rsidRPr="00E117A4" w:rsidRDefault="00E117A4" w:rsidP="00E117A4">
      <w:pPr>
        <w:spacing w:after="0" w:line="240" w:lineRule="auto"/>
        <w:rPr>
          <w:rFonts w:ascii="Times New Roman" w:hAnsi="Times New Roman" w:cs="Times New Roman"/>
          <w:sz w:val="24"/>
          <w:szCs w:val="24"/>
        </w:rPr>
      </w:pPr>
    </w:p>
    <w:p w:rsidR="00E117A4" w:rsidRDefault="00E117A4" w:rsidP="00CB4AC5">
      <w:pPr>
        <w:spacing w:after="0" w:line="240" w:lineRule="auto"/>
        <w:jc w:val="both"/>
        <w:rPr>
          <w:rFonts w:ascii="Times New Roman" w:hAnsi="Times New Roman" w:cs="Times New Roman"/>
          <w:sz w:val="24"/>
          <w:szCs w:val="24"/>
        </w:rPr>
      </w:pPr>
      <w:r w:rsidRPr="00E117A4">
        <w:rPr>
          <w:rFonts w:ascii="Times New Roman" w:hAnsi="Times New Roman" w:cs="Times New Roman"/>
          <w:sz w:val="24"/>
          <w:szCs w:val="24"/>
        </w:rPr>
        <w:t>According to BelStat</w:t>
      </w:r>
      <w:r w:rsidR="00CB4AC5">
        <w:rPr>
          <w:rFonts w:ascii="Times New Roman" w:hAnsi="Times New Roman" w:cs="Times New Roman"/>
          <w:sz w:val="24"/>
          <w:szCs w:val="24"/>
        </w:rPr>
        <w:t xml:space="preserve"> statistics,</w:t>
      </w:r>
      <w:r w:rsidRPr="00E117A4">
        <w:rPr>
          <w:rFonts w:ascii="Times New Roman" w:hAnsi="Times New Roman" w:cs="Times New Roman"/>
          <w:sz w:val="24"/>
          <w:szCs w:val="24"/>
        </w:rPr>
        <w:t xml:space="preserve"> 74.7</w:t>
      </w:r>
      <w:r w:rsidR="00CB4AC5">
        <w:rPr>
          <w:rFonts w:ascii="Times New Roman" w:hAnsi="Times New Roman" w:cs="Times New Roman"/>
          <w:sz w:val="24"/>
          <w:szCs w:val="24"/>
        </w:rPr>
        <w:t xml:space="preserve"> per cent</w:t>
      </w:r>
      <w:r w:rsidRPr="00E117A4">
        <w:rPr>
          <w:rFonts w:ascii="Times New Roman" w:hAnsi="Times New Roman" w:cs="Times New Roman"/>
          <w:sz w:val="24"/>
          <w:szCs w:val="24"/>
        </w:rPr>
        <w:t xml:space="preserve"> of manufacturing organisations made expenditure on technological innovation, 9.5</w:t>
      </w:r>
      <w:r w:rsidR="00CB4AC5">
        <w:rPr>
          <w:rFonts w:ascii="Times New Roman" w:hAnsi="Times New Roman" w:cs="Times New Roman"/>
          <w:sz w:val="24"/>
          <w:szCs w:val="24"/>
        </w:rPr>
        <w:t xml:space="preserve"> per cent</w:t>
      </w:r>
      <w:r w:rsidRPr="00E117A4">
        <w:rPr>
          <w:rFonts w:ascii="Times New Roman" w:hAnsi="Times New Roman" w:cs="Times New Roman"/>
          <w:sz w:val="24"/>
          <w:szCs w:val="24"/>
        </w:rPr>
        <w:t xml:space="preserve"> on organisational innovation and 15.8</w:t>
      </w:r>
      <w:r w:rsidR="00CB4AC5">
        <w:rPr>
          <w:rFonts w:ascii="Times New Roman" w:hAnsi="Times New Roman" w:cs="Times New Roman"/>
          <w:sz w:val="24"/>
          <w:szCs w:val="24"/>
        </w:rPr>
        <w:t xml:space="preserve"> per cent</w:t>
      </w:r>
      <w:r w:rsidRPr="00E117A4">
        <w:rPr>
          <w:rFonts w:ascii="Times New Roman" w:hAnsi="Times New Roman" w:cs="Times New Roman"/>
          <w:sz w:val="24"/>
          <w:szCs w:val="24"/>
        </w:rPr>
        <w:t xml:space="preserve"> on marketing innovation in 2014.</w:t>
      </w:r>
      <w:r w:rsidRPr="00E117A4">
        <w:rPr>
          <w:rFonts w:ascii="Times New Roman" w:hAnsi="Times New Roman" w:cs="Times New Roman"/>
          <w:sz w:val="24"/>
          <w:szCs w:val="24"/>
          <w:vertAlign w:val="superscript"/>
        </w:rPr>
        <w:footnoteReference w:id="23"/>
      </w:r>
      <w:r w:rsidRPr="00E117A4">
        <w:rPr>
          <w:rFonts w:ascii="Times New Roman" w:hAnsi="Times New Roman" w:cs="Times New Roman"/>
          <w:sz w:val="24"/>
          <w:szCs w:val="24"/>
        </w:rPr>
        <w:t xml:space="preserve"> The various types of innovation support each other and improve the firm’s chances of </w:t>
      </w:r>
      <w:r w:rsidR="00CB4AC5">
        <w:rPr>
          <w:rFonts w:ascii="Times New Roman" w:hAnsi="Times New Roman" w:cs="Times New Roman"/>
          <w:sz w:val="24"/>
          <w:szCs w:val="24"/>
        </w:rPr>
        <w:t xml:space="preserve">market success. </w:t>
      </w:r>
    </w:p>
    <w:p w:rsidR="0054236B" w:rsidRDefault="0054236B" w:rsidP="00CB4AC5">
      <w:pPr>
        <w:spacing w:after="0" w:line="240" w:lineRule="auto"/>
        <w:jc w:val="both"/>
        <w:rPr>
          <w:rFonts w:ascii="Times New Roman" w:hAnsi="Times New Roman" w:cs="Times New Roman"/>
          <w:sz w:val="24"/>
          <w:szCs w:val="24"/>
        </w:rPr>
      </w:pPr>
    </w:p>
    <w:p w:rsidR="0054236B" w:rsidRPr="00C37F37" w:rsidRDefault="0054236B" w:rsidP="0054236B">
      <w:pPr>
        <w:autoSpaceDE w:val="0"/>
        <w:autoSpaceDN w:val="0"/>
        <w:spacing w:after="0" w:line="240" w:lineRule="auto"/>
        <w:jc w:val="both"/>
        <w:rPr>
          <w:rFonts w:ascii="Times New Roman" w:eastAsia="Times New Roman" w:hAnsi="Times New Roman" w:cs="Times New Roman"/>
          <w:bCs/>
          <w:sz w:val="24"/>
          <w:szCs w:val="20"/>
          <w:lang w:eastAsia="hu-HU"/>
        </w:rPr>
      </w:pPr>
      <w:r>
        <w:rPr>
          <w:rFonts w:ascii="Times New Roman" w:eastAsia="Times New Roman" w:hAnsi="Times New Roman" w:cs="Times New Roman"/>
          <w:sz w:val="24"/>
          <w:szCs w:val="24"/>
          <w:lang w:eastAsia="hu-HU"/>
        </w:rPr>
        <w:t>With regards to the innovative capacities of SMEs, c</w:t>
      </w:r>
      <w:r w:rsidRPr="00C37F37">
        <w:rPr>
          <w:rFonts w:ascii="Times New Roman" w:eastAsia="Times New Roman" w:hAnsi="Times New Roman" w:cs="Times New Roman"/>
          <w:sz w:val="24"/>
          <w:szCs w:val="24"/>
          <w:lang w:eastAsia="hu-HU"/>
        </w:rPr>
        <w:t xml:space="preserve">apturing statistically the knowledge-based and innovative SMEs is not easy. </w:t>
      </w:r>
      <w:r w:rsidRPr="00C37F37">
        <w:rPr>
          <w:rFonts w:ascii="Times New Roman" w:eastAsia="Times New Roman" w:hAnsi="Times New Roman" w:cs="Times New Roman"/>
          <w:bCs/>
          <w:sz w:val="24"/>
          <w:szCs w:val="20"/>
          <w:lang w:eastAsia="hu-HU"/>
        </w:rPr>
        <w:t>In 2013 there were 12 515 SME industrial organisations of which 605 were medium-sized firms, 3433 small and 8476 micro-entities.</w:t>
      </w:r>
      <w:r w:rsidRPr="00C37F37">
        <w:rPr>
          <w:rFonts w:ascii="Times New Roman" w:eastAsia="Times New Roman" w:hAnsi="Times New Roman" w:cs="Times New Roman"/>
          <w:bCs/>
          <w:sz w:val="24"/>
          <w:szCs w:val="20"/>
          <w:vertAlign w:val="superscript"/>
          <w:lang w:eastAsia="hu-HU"/>
        </w:rPr>
        <w:footnoteReference w:id="24"/>
      </w:r>
      <w:r w:rsidRPr="00C37F37">
        <w:rPr>
          <w:rFonts w:ascii="Times New Roman" w:eastAsia="Times New Roman" w:hAnsi="Times New Roman" w:cs="Times New Roman"/>
          <w:bCs/>
          <w:sz w:val="24"/>
          <w:szCs w:val="20"/>
          <w:lang w:eastAsia="hu-HU"/>
        </w:rPr>
        <w:t xml:space="preserve"> The number of micro and small entities increased from 2010 whilst the medium-sized </w:t>
      </w:r>
      <w:r w:rsidRPr="00C37F37">
        <w:rPr>
          <w:rFonts w:ascii="Times New Roman" w:eastAsia="Times New Roman" w:hAnsi="Times New Roman" w:cs="Times New Roman"/>
          <w:bCs/>
          <w:sz w:val="24"/>
          <w:szCs w:val="20"/>
          <w:lang w:eastAsia="hu-HU"/>
        </w:rPr>
        <w:lastRenderedPageBreak/>
        <w:t>decreased. The volume of industrial production has grown faster in micro-firms than in others (at current prices). In 2010 this group produced 19.8</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and in 2013 22.3</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of GDP and employed 28</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of the workforce. </w:t>
      </w:r>
    </w:p>
    <w:p w:rsidR="0054236B" w:rsidRDefault="0054236B" w:rsidP="0054236B">
      <w:pPr>
        <w:autoSpaceDE w:val="0"/>
        <w:autoSpaceDN w:val="0"/>
        <w:spacing w:after="0" w:line="240" w:lineRule="auto"/>
        <w:jc w:val="both"/>
        <w:rPr>
          <w:rFonts w:ascii="Times New Roman" w:eastAsia="Times New Roman" w:hAnsi="Times New Roman" w:cs="Times New Roman"/>
          <w:bCs/>
          <w:sz w:val="24"/>
          <w:szCs w:val="20"/>
          <w:lang w:eastAsia="hu-HU"/>
        </w:rPr>
      </w:pPr>
    </w:p>
    <w:p w:rsidR="0054236B" w:rsidRPr="00C37F37" w:rsidRDefault="0054236B" w:rsidP="0054236B">
      <w:pPr>
        <w:autoSpaceDE w:val="0"/>
        <w:autoSpaceDN w:val="0"/>
        <w:spacing w:after="0" w:line="240" w:lineRule="auto"/>
        <w:jc w:val="both"/>
        <w:rPr>
          <w:rFonts w:ascii="Times New Roman" w:eastAsia="Times New Roman" w:hAnsi="Times New Roman" w:cs="Times New Roman"/>
          <w:bCs/>
          <w:sz w:val="24"/>
          <w:szCs w:val="20"/>
          <w:lang w:eastAsia="hu-HU"/>
        </w:rPr>
      </w:pPr>
      <w:r w:rsidRPr="00C37F37">
        <w:rPr>
          <w:rFonts w:ascii="Times New Roman" w:eastAsia="Times New Roman" w:hAnsi="Times New Roman" w:cs="Times New Roman"/>
          <w:bCs/>
          <w:sz w:val="24"/>
          <w:szCs w:val="20"/>
          <w:lang w:eastAsia="hu-HU"/>
        </w:rPr>
        <w:t>Only two innovation-related sets of data are published on SMEs in the manufacturing sector: the number of organisations engaged in technological innovation and the share of shipped innovation products of total products. The number of medium sized innovative enterprises was 85 in 2011 and 88 in 2013. In the same years the number of small entities was 57 and decreased to 50. In both size categories the ratio of innovative products to total increased in medium-sized companies from 3.8</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to 6.9</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and in small firms from 0.8</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to 1.3</w:t>
      </w:r>
      <w:r w:rsidR="007300BB">
        <w:rPr>
          <w:rFonts w:ascii="Times New Roman" w:eastAsia="Times New Roman" w:hAnsi="Times New Roman" w:cs="Times New Roman"/>
          <w:bCs/>
          <w:sz w:val="24"/>
          <w:szCs w:val="20"/>
          <w:lang w:eastAsia="hu-HU"/>
        </w:rPr>
        <w:t xml:space="preserve"> per cent</w:t>
      </w:r>
      <w:r w:rsidRPr="00C37F37">
        <w:rPr>
          <w:rFonts w:ascii="Times New Roman" w:eastAsia="Times New Roman" w:hAnsi="Times New Roman" w:cs="Times New Roman"/>
          <w:bCs/>
          <w:sz w:val="24"/>
          <w:szCs w:val="20"/>
          <w:lang w:eastAsia="hu-HU"/>
        </w:rPr>
        <w:t xml:space="preserve">. </w:t>
      </w:r>
    </w:p>
    <w:p w:rsidR="00E117A4" w:rsidRPr="00E117A4" w:rsidRDefault="00E117A4" w:rsidP="00E117A4">
      <w:pPr>
        <w:spacing w:after="0" w:line="240" w:lineRule="auto"/>
        <w:ind w:firstLine="709"/>
        <w:jc w:val="both"/>
        <w:rPr>
          <w:rFonts w:ascii="Times New Roman" w:hAnsi="Times New Roman" w:cs="Times New Roman"/>
          <w:sz w:val="24"/>
          <w:szCs w:val="24"/>
        </w:rPr>
      </w:pPr>
    </w:p>
    <w:p w:rsidR="0054236B" w:rsidRPr="00681F85" w:rsidRDefault="004E7577" w:rsidP="0054236B">
      <w:pPr>
        <w:spacing w:after="0" w:line="240" w:lineRule="auto"/>
        <w:jc w:val="both"/>
        <w:outlineLvl w:val="1"/>
        <w:rPr>
          <w:rFonts w:ascii="Times New Roman" w:eastAsia="Times New Roman" w:hAnsi="Times New Roman" w:cs="Times New Roman"/>
          <w:sz w:val="24"/>
          <w:szCs w:val="24"/>
        </w:rPr>
      </w:pPr>
      <w:bookmarkStart w:id="14" w:name="_Toc455495221"/>
      <w:r>
        <w:rPr>
          <w:rFonts w:ascii="Times New Roman" w:eastAsia="Times New Roman" w:hAnsi="Times New Roman" w:cs="Times New Roman"/>
          <w:sz w:val="24"/>
          <w:szCs w:val="24"/>
        </w:rPr>
        <w:t>In addition to available national statistics, this report also considers the 2014 BEEPS surve, which</w:t>
      </w:r>
      <w:r w:rsidR="0054236B" w:rsidRPr="00681F85">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w:t>
      </w:r>
      <w:r w:rsidR="0054236B" w:rsidRPr="00681F85">
        <w:rPr>
          <w:rFonts w:ascii="Times New Roman" w:eastAsia="Times New Roman" w:hAnsi="Times New Roman" w:cs="Times New Roman"/>
          <w:sz w:val="24"/>
          <w:szCs w:val="24"/>
        </w:rPr>
        <w:t xml:space="preserve"> a dedicated innovation module </w:t>
      </w:r>
      <w:r>
        <w:rPr>
          <w:rFonts w:ascii="Times New Roman" w:eastAsia="Times New Roman" w:hAnsi="Times New Roman" w:cs="Times New Roman"/>
          <w:sz w:val="24"/>
          <w:szCs w:val="24"/>
        </w:rPr>
        <w:t>that</w:t>
      </w:r>
      <w:r w:rsidR="0054236B" w:rsidRPr="00681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allows</w:t>
      </w:r>
      <w:r w:rsidR="0054236B" w:rsidRPr="00681F85">
        <w:rPr>
          <w:rFonts w:ascii="Times New Roman" w:eastAsia="Times New Roman" w:hAnsi="Times New Roman" w:cs="Times New Roman"/>
          <w:sz w:val="24"/>
          <w:szCs w:val="24"/>
        </w:rPr>
        <w:t xml:space="preserve"> a </w:t>
      </w:r>
      <w:r w:rsidR="0054236B" w:rsidRPr="00681F85">
        <w:rPr>
          <w:rFonts w:ascii="Times New Roman" w:eastAsia="Times New Roman" w:hAnsi="Times New Roman" w:cs="Times New Roman"/>
          <w:noProof/>
          <w:sz w:val="24"/>
          <w:szCs w:val="24"/>
        </w:rPr>
        <w:t>better</w:t>
      </w:r>
      <w:r w:rsidR="0054236B" w:rsidRPr="00681F85">
        <w:rPr>
          <w:rFonts w:ascii="Times New Roman" w:eastAsia="Times New Roman" w:hAnsi="Times New Roman" w:cs="Times New Roman"/>
          <w:sz w:val="24"/>
          <w:szCs w:val="24"/>
        </w:rPr>
        <w:t xml:space="preserve"> understanding of the Belarusian firms as innovators.  This survey emulated many of the questions of innovation surveys which thus well complement data by Belisa 2015 survey based on WEF framework (see chapter 3).</w:t>
      </w:r>
      <w:bookmarkEnd w:id="14"/>
      <w:r w:rsidR="0054236B" w:rsidRPr="00681F85">
        <w:rPr>
          <w:rFonts w:ascii="Times New Roman" w:eastAsia="Times New Roman" w:hAnsi="Times New Roman" w:cs="Times New Roman"/>
          <w:sz w:val="24"/>
          <w:szCs w:val="24"/>
        </w:rPr>
        <w:t xml:space="preserve"> </w:t>
      </w:r>
      <w:r w:rsidRPr="004E7577">
        <w:rPr>
          <w:rFonts w:ascii="Times New Roman" w:eastAsia="Times New Roman" w:hAnsi="Times New Roman" w:cs="Times New Roman"/>
          <w:sz w:val="24"/>
          <w:szCs w:val="24"/>
        </w:rPr>
        <w:t>The interview-based BEEPS sample contained 126 manufacturing firms, of which 78 introduced product and or process innovation.</w:t>
      </w:r>
    </w:p>
    <w:p w:rsidR="0054236B" w:rsidRPr="00681F85" w:rsidRDefault="0054236B" w:rsidP="0054236B">
      <w:pPr>
        <w:spacing w:after="0" w:line="240" w:lineRule="auto"/>
        <w:jc w:val="both"/>
        <w:outlineLvl w:val="1"/>
        <w:rPr>
          <w:rFonts w:ascii="Times New Roman" w:eastAsia="Times New Roman" w:hAnsi="Times New Roman" w:cs="Times New Roman"/>
          <w:sz w:val="24"/>
          <w:szCs w:val="24"/>
        </w:rPr>
      </w:pPr>
    </w:p>
    <w:p w:rsidR="0054236B" w:rsidRPr="00681F85" w:rsidRDefault="0054236B" w:rsidP="0054236B">
      <w:pPr>
        <w:spacing w:after="0" w:line="240" w:lineRule="auto"/>
        <w:jc w:val="both"/>
        <w:outlineLvl w:val="1"/>
        <w:rPr>
          <w:rFonts w:ascii="Times New Roman" w:eastAsia="Times New Roman" w:hAnsi="Times New Roman" w:cs="Times New Roman"/>
          <w:sz w:val="24"/>
          <w:szCs w:val="24"/>
        </w:rPr>
      </w:pPr>
      <w:bookmarkStart w:id="15" w:name="_Toc455495222"/>
      <w:r w:rsidRPr="00681F85">
        <w:rPr>
          <w:rFonts w:ascii="Times New Roman" w:eastAsia="Times New Roman" w:hAnsi="Times New Roman" w:cs="Times New Roman"/>
          <w:sz w:val="24"/>
          <w:szCs w:val="24"/>
        </w:rPr>
        <w:t xml:space="preserve">BEEPS survey shows that </w:t>
      </w:r>
      <w:r w:rsidR="004E7577">
        <w:rPr>
          <w:rFonts w:ascii="Times New Roman" w:eastAsia="Times New Roman" w:hAnsi="Times New Roman" w:cs="Times New Roman"/>
          <w:sz w:val="24"/>
          <w:szCs w:val="24"/>
        </w:rPr>
        <w:t xml:space="preserve"> the </w:t>
      </w:r>
      <w:r w:rsidRPr="00681F85">
        <w:rPr>
          <w:rFonts w:ascii="Times New Roman" w:eastAsia="Times New Roman" w:hAnsi="Times New Roman" w:cs="Times New Roman"/>
          <w:sz w:val="24"/>
          <w:szCs w:val="24"/>
        </w:rPr>
        <w:t>shares of Belarusian firms as innovators are relatively quite high. In fact, shares of R&amp;D active innovators, process, organisational and marketing innovators are the highest in Belarus when compared to CE/CIS peers (</w:t>
      </w:r>
      <w:r w:rsidRPr="00681F85">
        <w:rPr>
          <w:rFonts w:ascii="Times New Roman" w:eastAsia="Times New Roman" w:hAnsi="Times New Roman" w:cs="Times New Roman"/>
          <w:noProof/>
          <w:sz w:val="24"/>
          <w:szCs w:val="24"/>
          <w:highlight w:val="yellow"/>
        </w:rPr>
        <w:t>Table</w:t>
      </w:r>
      <w:r w:rsidRPr="00681F85">
        <w:rPr>
          <w:rFonts w:ascii="Times New Roman" w:eastAsia="Times New Roman" w:hAnsi="Times New Roman" w:cs="Times New Roman"/>
          <w:sz w:val="24"/>
          <w:szCs w:val="24"/>
          <w:highlight w:val="yellow"/>
        </w:rPr>
        <w:t xml:space="preserve"> </w:t>
      </w:r>
      <w:r w:rsidR="00681F85" w:rsidRPr="00681F85">
        <w:rPr>
          <w:rFonts w:ascii="Times New Roman" w:eastAsia="Times New Roman" w:hAnsi="Times New Roman" w:cs="Times New Roman"/>
          <w:sz w:val="24"/>
          <w:szCs w:val="24"/>
          <w:highlight w:val="yellow"/>
        </w:rPr>
        <w:t>x</w:t>
      </w:r>
      <w:r w:rsidRPr="00681F85">
        <w:rPr>
          <w:rFonts w:ascii="Times New Roman" w:eastAsia="Times New Roman" w:hAnsi="Times New Roman" w:cs="Times New Roman"/>
          <w:sz w:val="24"/>
          <w:szCs w:val="24"/>
          <w:highlight w:val="yellow"/>
        </w:rPr>
        <w:t>).</w:t>
      </w:r>
      <w:r w:rsidRPr="00681F85">
        <w:rPr>
          <w:rFonts w:ascii="Times New Roman" w:eastAsia="Times New Roman" w:hAnsi="Times New Roman" w:cs="Times New Roman"/>
          <w:sz w:val="24"/>
          <w:szCs w:val="24"/>
        </w:rPr>
        <w:t xml:space="preserve"> A </w:t>
      </w:r>
      <w:r w:rsidRPr="00681F85">
        <w:rPr>
          <w:rFonts w:ascii="Times New Roman" w:eastAsia="Times New Roman" w:hAnsi="Times New Roman" w:cs="Times New Roman"/>
          <w:noProof/>
          <w:sz w:val="24"/>
          <w:szCs w:val="24"/>
        </w:rPr>
        <w:t>very large</w:t>
      </w:r>
      <w:r w:rsidRPr="00681F85">
        <w:rPr>
          <w:rFonts w:ascii="Times New Roman" w:eastAsia="Times New Roman" w:hAnsi="Times New Roman" w:cs="Times New Roman"/>
          <w:sz w:val="24"/>
          <w:szCs w:val="24"/>
        </w:rPr>
        <w:t xml:space="preserve"> relative share of organisational and marketing innovators suggests that post-2008 Belarusian firms have intensified their non-technological activities as a way to counteract worsening market conditions. This together with a </w:t>
      </w:r>
      <w:r w:rsidRPr="00681F85">
        <w:rPr>
          <w:rFonts w:ascii="Times New Roman" w:eastAsia="Times New Roman" w:hAnsi="Times New Roman" w:cs="Times New Roman"/>
          <w:noProof/>
          <w:sz w:val="24"/>
          <w:szCs w:val="24"/>
        </w:rPr>
        <w:t>higher</w:t>
      </w:r>
      <w:r w:rsidRPr="00681F85">
        <w:rPr>
          <w:rFonts w:ascii="Times New Roman" w:eastAsia="Times New Roman" w:hAnsi="Times New Roman" w:cs="Times New Roman"/>
          <w:sz w:val="24"/>
          <w:szCs w:val="24"/>
        </w:rPr>
        <w:t xml:space="preserve"> </w:t>
      </w:r>
      <w:r w:rsidRPr="00681F85">
        <w:rPr>
          <w:rFonts w:ascii="Times New Roman" w:eastAsia="Times New Roman" w:hAnsi="Times New Roman" w:cs="Times New Roman"/>
          <w:noProof/>
          <w:sz w:val="24"/>
          <w:szCs w:val="24"/>
        </w:rPr>
        <w:t>proportion</w:t>
      </w:r>
      <w:r w:rsidRPr="00681F85">
        <w:rPr>
          <w:rFonts w:ascii="Times New Roman" w:eastAsia="Times New Roman" w:hAnsi="Times New Roman" w:cs="Times New Roman"/>
          <w:sz w:val="24"/>
          <w:szCs w:val="24"/>
        </w:rPr>
        <w:t xml:space="preserve"> of a </w:t>
      </w:r>
      <w:r w:rsidRPr="00681F85">
        <w:rPr>
          <w:rFonts w:ascii="Times New Roman" w:eastAsia="Times New Roman" w:hAnsi="Times New Roman" w:cs="Times New Roman"/>
          <w:noProof/>
          <w:sz w:val="24"/>
          <w:szCs w:val="24"/>
        </w:rPr>
        <w:t>process</w:t>
      </w:r>
      <w:r w:rsidRPr="00681F85">
        <w:rPr>
          <w:rFonts w:ascii="Times New Roman" w:eastAsia="Times New Roman" w:hAnsi="Times New Roman" w:cs="Times New Roman"/>
          <w:sz w:val="24"/>
          <w:szCs w:val="24"/>
        </w:rPr>
        <w:t xml:space="preserve"> than product innovators </w:t>
      </w:r>
      <w:r w:rsidRPr="00681F85">
        <w:rPr>
          <w:rFonts w:ascii="Times New Roman" w:eastAsia="Times New Roman" w:hAnsi="Times New Roman" w:cs="Times New Roman"/>
          <w:noProof/>
          <w:sz w:val="24"/>
          <w:szCs w:val="24"/>
        </w:rPr>
        <w:t>indicate</w:t>
      </w:r>
      <w:r w:rsidRPr="00681F85">
        <w:rPr>
          <w:rFonts w:ascii="Times New Roman" w:eastAsia="Times New Roman" w:hAnsi="Times New Roman" w:cs="Times New Roman"/>
          <w:sz w:val="24"/>
          <w:szCs w:val="24"/>
        </w:rPr>
        <w:t xml:space="preserve"> that they are under financial pressures and searching for innovative ways to maintain their markets.</w:t>
      </w:r>
      <w:bookmarkEnd w:id="15"/>
    </w:p>
    <w:p w:rsidR="0054236B" w:rsidRPr="00681F85" w:rsidRDefault="0054236B" w:rsidP="0054236B">
      <w:pPr>
        <w:spacing w:after="0" w:line="240" w:lineRule="auto"/>
        <w:jc w:val="both"/>
        <w:outlineLvl w:val="1"/>
        <w:rPr>
          <w:rFonts w:ascii="Times New Roman" w:eastAsia="Times New Roman" w:hAnsi="Times New Roman" w:cs="Times New Roman"/>
          <w:sz w:val="24"/>
          <w:szCs w:val="24"/>
        </w:rPr>
      </w:pPr>
    </w:p>
    <w:p w:rsidR="0054236B" w:rsidRPr="00681F85" w:rsidRDefault="0054236B" w:rsidP="0054236B">
      <w:pPr>
        <w:spacing w:after="0" w:line="240" w:lineRule="auto"/>
        <w:jc w:val="both"/>
        <w:outlineLvl w:val="1"/>
        <w:rPr>
          <w:rFonts w:ascii="Times New Roman" w:eastAsia="Times New Roman" w:hAnsi="Times New Roman" w:cs="Times New Roman"/>
          <w:sz w:val="24"/>
          <w:szCs w:val="24"/>
        </w:rPr>
      </w:pPr>
      <w:bookmarkStart w:id="16" w:name="_Toc455495223"/>
      <w:r w:rsidRPr="00681F85">
        <w:rPr>
          <w:rFonts w:ascii="Times New Roman" w:eastAsia="Times New Roman" w:hAnsi="Times New Roman" w:cs="Times New Roman"/>
          <w:sz w:val="24"/>
          <w:szCs w:val="24"/>
          <w:highlight w:val="yellow"/>
        </w:rPr>
        <w:t xml:space="preserve">Table </w:t>
      </w:r>
      <w:r w:rsidR="00681F85" w:rsidRPr="00681F85">
        <w:rPr>
          <w:rFonts w:ascii="Times New Roman" w:eastAsia="Times New Roman" w:hAnsi="Times New Roman" w:cs="Times New Roman"/>
          <w:sz w:val="24"/>
          <w:szCs w:val="24"/>
          <w:highlight w:val="yellow"/>
        </w:rPr>
        <w:t>x</w:t>
      </w:r>
      <w:r w:rsidRPr="00681F85">
        <w:rPr>
          <w:rFonts w:ascii="Times New Roman" w:eastAsia="Times New Roman" w:hAnsi="Times New Roman" w:cs="Times New Roman"/>
          <w:sz w:val="24"/>
          <w:szCs w:val="24"/>
          <w:highlight w:val="yellow"/>
        </w:rPr>
        <w:t>:</w:t>
      </w:r>
      <w:r w:rsidRPr="00681F85">
        <w:rPr>
          <w:rFonts w:ascii="Times New Roman" w:eastAsia="Times New Roman" w:hAnsi="Times New Roman" w:cs="Times New Roman"/>
          <w:sz w:val="24"/>
          <w:szCs w:val="24"/>
        </w:rPr>
        <w:t xml:space="preserve"> Shares of different types of innovators in Belarus and peer economies based on BEEPS 2012-2014 survey</w:t>
      </w:r>
      <w:bookmarkEnd w:id="16"/>
    </w:p>
    <w:p w:rsidR="0054236B" w:rsidRPr="0054236B" w:rsidRDefault="0054236B" w:rsidP="0054236B">
      <w:pPr>
        <w:spacing w:after="0" w:line="240" w:lineRule="auto"/>
        <w:jc w:val="both"/>
        <w:outlineLvl w:val="1"/>
        <w:rPr>
          <w:rFonts w:ascii="Cambria" w:eastAsia="Times New Roman" w:hAnsi="Cambria" w:cs="Times New Roman"/>
          <w:sz w:val="24"/>
          <w:szCs w:val="24"/>
        </w:rPr>
      </w:pPr>
      <w:bookmarkStart w:id="17" w:name="_Toc455495224"/>
      <w:r w:rsidRPr="0054236B">
        <w:rPr>
          <w:rFonts w:ascii="Cambria" w:eastAsia="Times New Roman" w:hAnsi="Cambria" w:cs="Times New Roman"/>
          <w:noProof/>
          <w:sz w:val="24"/>
          <w:szCs w:val="24"/>
          <w:lang w:val="ru-RU" w:eastAsia="ru-RU"/>
        </w:rPr>
        <w:drawing>
          <wp:inline distT="0" distB="0" distL="0" distR="0" wp14:anchorId="2D5FEF43" wp14:editId="546AA858">
            <wp:extent cx="5270500" cy="2392861"/>
            <wp:effectExtent l="19050" t="0" r="635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270500" cy="2392861"/>
                    </a:xfrm>
                    <a:prstGeom prst="rect">
                      <a:avLst/>
                    </a:prstGeom>
                    <a:noFill/>
                    <a:ln w="9525">
                      <a:noFill/>
                      <a:miter lim="800000"/>
                      <a:headEnd/>
                      <a:tailEnd/>
                    </a:ln>
                  </pic:spPr>
                </pic:pic>
              </a:graphicData>
            </a:graphic>
          </wp:inline>
        </w:drawing>
      </w:r>
      <w:bookmarkEnd w:id="17"/>
    </w:p>
    <w:p w:rsidR="0054236B" w:rsidRPr="0054236B" w:rsidRDefault="0054236B" w:rsidP="0054236B">
      <w:pPr>
        <w:spacing w:after="0" w:line="240" w:lineRule="auto"/>
        <w:jc w:val="both"/>
        <w:outlineLvl w:val="1"/>
        <w:rPr>
          <w:rFonts w:ascii="Cambria" w:eastAsia="Times New Roman" w:hAnsi="Cambria" w:cs="Times New Roman"/>
          <w:sz w:val="20"/>
          <w:szCs w:val="24"/>
        </w:rPr>
      </w:pPr>
      <w:bookmarkStart w:id="18" w:name="_Toc455495225"/>
      <w:r w:rsidRPr="0054236B">
        <w:rPr>
          <w:rFonts w:ascii="Cambria" w:eastAsia="Times New Roman" w:hAnsi="Cambria" w:cs="Times New Roman"/>
          <w:sz w:val="20"/>
          <w:szCs w:val="24"/>
        </w:rPr>
        <w:t>Source: BEEPS 2014</w:t>
      </w:r>
      <w:bookmarkEnd w:id="18"/>
    </w:p>
    <w:p w:rsidR="0054236B" w:rsidRPr="0054236B" w:rsidRDefault="0054236B" w:rsidP="0054236B">
      <w:pPr>
        <w:spacing w:after="0" w:line="240" w:lineRule="auto"/>
        <w:jc w:val="both"/>
        <w:outlineLvl w:val="1"/>
        <w:rPr>
          <w:rFonts w:ascii="Cambria" w:eastAsia="Times New Roman" w:hAnsi="Cambria" w:cs="Times New Roman"/>
          <w:sz w:val="24"/>
          <w:szCs w:val="24"/>
        </w:rPr>
      </w:pPr>
    </w:p>
    <w:p w:rsidR="0054236B" w:rsidRDefault="0054236B" w:rsidP="0054236B">
      <w:pPr>
        <w:spacing w:after="0" w:line="240" w:lineRule="auto"/>
        <w:jc w:val="both"/>
        <w:outlineLvl w:val="1"/>
        <w:rPr>
          <w:rFonts w:ascii="Times New Roman" w:eastAsia="Times New Roman" w:hAnsi="Times New Roman" w:cs="Times New Roman"/>
          <w:sz w:val="24"/>
          <w:szCs w:val="24"/>
        </w:rPr>
      </w:pPr>
      <w:bookmarkStart w:id="19" w:name="_Toc455495226"/>
      <w:r w:rsidRPr="00681F85">
        <w:rPr>
          <w:rFonts w:ascii="Times New Roman" w:eastAsia="Times New Roman" w:hAnsi="Times New Roman" w:cs="Times New Roman"/>
          <w:sz w:val="24"/>
          <w:szCs w:val="24"/>
        </w:rPr>
        <w:t xml:space="preserve">However, this effort remains within their </w:t>
      </w:r>
      <w:r w:rsidRPr="00681F85">
        <w:rPr>
          <w:rFonts w:ascii="Times New Roman" w:eastAsia="Times New Roman" w:hAnsi="Times New Roman" w:cs="Times New Roman"/>
          <w:noProof/>
          <w:sz w:val="24"/>
          <w:szCs w:val="24"/>
        </w:rPr>
        <w:t>current</w:t>
      </w:r>
      <w:r w:rsidRPr="00681F85">
        <w:rPr>
          <w:rFonts w:ascii="Times New Roman" w:eastAsia="Times New Roman" w:hAnsi="Times New Roman" w:cs="Times New Roman"/>
          <w:sz w:val="24"/>
          <w:szCs w:val="24"/>
        </w:rPr>
        <w:t xml:space="preserve"> market orientation towards CIS markets. Namely, they are much less quality certified than would be required </w:t>
      </w:r>
      <w:r w:rsidRPr="00681F85">
        <w:rPr>
          <w:rFonts w:ascii="Times New Roman" w:eastAsia="Times New Roman" w:hAnsi="Times New Roman" w:cs="Times New Roman"/>
          <w:noProof/>
          <w:sz w:val="24"/>
          <w:szCs w:val="24"/>
        </w:rPr>
        <w:t>in</w:t>
      </w:r>
      <w:r w:rsidRPr="00681F85">
        <w:rPr>
          <w:rFonts w:ascii="Times New Roman" w:eastAsia="Times New Roman" w:hAnsi="Times New Roman" w:cs="Times New Roman"/>
          <w:sz w:val="24"/>
          <w:szCs w:val="24"/>
        </w:rPr>
        <w:t xml:space="preserve"> Western markets, they much less rely on </w:t>
      </w:r>
      <w:r w:rsidRPr="00681F85">
        <w:rPr>
          <w:rFonts w:ascii="Times New Roman" w:eastAsia="Times New Roman" w:hAnsi="Times New Roman" w:cs="Times New Roman"/>
          <w:noProof/>
          <w:sz w:val="24"/>
          <w:szCs w:val="24"/>
        </w:rPr>
        <w:t>foreign</w:t>
      </w:r>
      <w:r w:rsidRPr="00681F85">
        <w:rPr>
          <w:rFonts w:ascii="Times New Roman" w:eastAsia="Times New Roman" w:hAnsi="Times New Roman" w:cs="Times New Roman"/>
          <w:sz w:val="24"/>
          <w:szCs w:val="24"/>
        </w:rPr>
        <w:t xml:space="preserve"> knowledge via </w:t>
      </w:r>
      <w:r w:rsidRPr="00681F85">
        <w:rPr>
          <w:rFonts w:ascii="Times New Roman" w:eastAsia="Times New Roman" w:hAnsi="Times New Roman" w:cs="Times New Roman"/>
          <w:noProof/>
          <w:sz w:val="24"/>
          <w:szCs w:val="24"/>
        </w:rPr>
        <w:t>licences, and</w:t>
      </w:r>
      <w:r w:rsidRPr="00681F85">
        <w:rPr>
          <w:rFonts w:ascii="Times New Roman" w:eastAsia="Times New Roman" w:hAnsi="Times New Roman" w:cs="Times New Roman"/>
          <w:sz w:val="24"/>
          <w:szCs w:val="24"/>
        </w:rPr>
        <w:t xml:space="preserve"> are much less connected via email, own much less often website though they </w:t>
      </w:r>
      <w:r w:rsidRPr="00681F85">
        <w:rPr>
          <w:rFonts w:ascii="Times New Roman" w:eastAsia="Times New Roman" w:hAnsi="Times New Roman" w:cs="Times New Roman"/>
          <w:noProof/>
          <w:sz w:val="24"/>
          <w:szCs w:val="24"/>
        </w:rPr>
        <w:t>are externally audited</w:t>
      </w:r>
      <w:r w:rsidRPr="00681F85">
        <w:rPr>
          <w:rFonts w:ascii="Times New Roman" w:eastAsia="Times New Roman" w:hAnsi="Times New Roman" w:cs="Times New Roman"/>
          <w:sz w:val="24"/>
          <w:szCs w:val="24"/>
        </w:rPr>
        <w:t xml:space="preserve"> as a </w:t>
      </w:r>
      <w:r w:rsidRPr="00681F85">
        <w:rPr>
          <w:rFonts w:ascii="Times New Roman" w:eastAsia="Times New Roman" w:hAnsi="Times New Roman" w:cs="Times New Roman"/>
          <w:noProof/>
          <w:sz w:val="24"/>
          <w:szCs w:val="24"/>
        </w:rPr>
        <w:t>way</w:t>
      </w:r>
      <w:r w:rsidRPr="00681F85">
        <w:rPr>
          <w:rFonts w:ascii="Times New Roman" w:eastAsia="Times New Roman" w:hAnsi="Times New Roman" w:cs="Times New Roman"/>
          <w:sz w:val="24"/>
          <w:szCs w:val="24"/>
        </w:rPr>
        <w:t xml:space="preserve"> to maintain external credibility. In a </w:t>
      </w:r>
      <w:r w:rsidRPr="00681F85">
        <w:rPr>
          <w:rFonts w:ascii="Times New Roman" w:eastAsia="Times New Roman" w:hAnsi="Times New Roman" w:cs="Times New Roman"/>
          <w:noProof/>
          <w:sz w:val="24"/>
          <w:szCs w:val="24"/>
        </w:rPr>
        <w:t>nutshell,</w:t>
      </w:r>
      <w:r w:rsidRPr="00681F85">
        <w:rPr>
          <w:rFonts w:ascii="Times New Roman" w:eastAsia="Times New Roman" w:hAnsi="Times New Roman" w:cs="Times New Roman"/>
          <w:sz w:val="24"/>
          <w:szCs w:val="24"/>
        </w:rPr>
        <w:t xml:space="preserve"> they seem to be very technologically and </w:t>
      </w:r>
      <w:r w:rsidRPr="00681F85">
        <w:rPr>
          <w:rFonts w:ascii="Times New Roman" w:eastAsia="Times New Roman" w:hAnsi="Times New Roman" w:cs="Times New Roman"/>
          <w:noProof/>
          <w:sz w:val="24"/>
          <w:szCs w:val="24"/>
        </w:rPr>
        <w:t>organizationally</w:t>
      </w:r>
      <w:r w:rsidRPr="00681F85">
        <w:rPr>
          <w:rFonts w:ascii="Times New Roman" w:eastAsia="Times New Roman" w:hAnsi="Times New Roman" w:cs="Times New Roman"/>
          <w:sz w:val="24"/>
          <w:szCs w:val="24"/>
        </w:rPr>
        <w:t xml:space="preserve"> active but </w:t>
      </w:r>
      <w:r w:rsidRPr="00681F85">
        <w:rPr>
          <w:rFonts w:ascii="Times New Roman" w:eastAsia="Times New Roman" w:hAnsi="Times New Roman" w:cs="Times New Roman"/>
          <w:sz w:val="24"/>
          <w:szCs w:val="24"/>
        </w:rPr>
        <w:lastRenderedPageBreak/>
        <w:t xml:space="preserve">within their traditional market orientation. A low share of quality certified firms and low use of </w:t>
      </w:r>
      <w:r w:rsidRPr="00681F85">
        <w:rPr>
          <w:rFonts w:ascii="Times New Roman" w:eastAsia="Times New Roman" w:hAnsi="Times New Roman" w:cs="Times New Roman"/>
          <w:noProof/>
          <w:sz w:val="24"/>
          <w:szCs w:val="24"/>
        </w:rPr>
        <w:t>foreign</w:t>
      </w:r>
      <w:r w:rsidRPr="00681F85">
        <w:rPr>
          <w:rFonts w:ascii="Times New Roman" w:eastAsia="Times New Roman" w:hAnsi="Times New Roman" w:cs="Times New Roman"/>
          <w:sz w:val="24"/>
          <w:szCs w:val="24"/>
        </w:rPr>
        <w:t xml:space="preserve"> knowledge suggest that similar to Russian firms they are largely outside EU and global value chains.</w:t>
      </w:r>
      <w:bookmarkEnd w:id="19"/>
    </w:p>
    <w:p w:rsidR="00681F85" w:rsidRDefault="00681F85" w:rsidP="00681F85">
      <w:pPr>
        <w:keepNext/>
        <w:spacing w:after="0" w:line="240" w:lineRule="auto"/>
        <w:ind w:left="862"/>
        <w:outlineLvl w:val="3"/>
        <w:rPr>
          <w:rFonts w:ascii="Times New Roman" w:eastAsia="Times New Roman" w:hAnsi="Times New Roman" w:cs="Times New Roman"/>
          <w:sz w:val="24"/>
          <w:szCs w:val="24"/>
        </w:rPr>
      </w:pPr>
    </w:p>
    <w:p w:rsidR="00E117A4" w:rsidRDefault="0054236B" w:rsidP="00681F85">
      <w:pPr>
        <w:keepNext/>
        <w:spacing w:after="0" w:line="240" w:lineRule="auto"/>
        <w:outlineLvl w:val="3"/>
        <w:rPr>
          <w:rFonts w:ascii="Times New Roman" w:eastAsia="Calibri" w:hAnsi="Times New Roman" w:cs="Times New Roman"/>
          <w:bCs/>
          <w:i/>
          <w:sz w:val="24"/>
          <w:szCs w:val="24"/>
        </w:rPr>
      </w:pPr>
      <w:r>
        <w:rPr>
          <w:rFonts w:ascii="Times New Roman" w:eastAsia="Calibri" w:hAnsi="Times New Roman" w:cs="Times New Roman"/>
          <w:bCs/>
          <w:i/>
          <w:sz w:val="24"/>
          <w:szCs w:val="24"/>
        </w:rPr>
        <w:t>B</w:t>
      </w:r>
      <w:r w:rsidR="00E117A4" w:rsidRPr="00E117A4">
        <w:rPr>
          <w:rFonts w:ascii="Times New Roman" w:eastAsia="Calibri" w:hAnsi="Times New Roman" w:cs="Times New Roman"/>
          <w:bCs/>
          <w:i/>
          <w:sz w:val="24"/>
          <w:szCs w:val="24"/>
        </w:rPr>
        <w:t>urdening factors of innovation</w:t>
      </w:r>
    </w:p>
    <w:p w:rsidR="00681F85" w:rsidRDefault="00681F85" w:rsidP="00681F85">
      <w:pPr>
        <w:keepNext/>
        <w:spacing w:after="0" w:line="240" w:lineRule="auto"/>
        <w:ind w:left="862"/>
        <w:outlineLvl w:val="3"/>
        <w:rPr>
          <w:rFonts w:ascii="Times New Roman" w:eastAsia="Calibri" w:hAnsi="Times New Roman" w:cs="Times New Roman"/>
          <w:bCs/>
          <w:i/>
          <w:sz w:val="24"/>
          <w:szCs w:val="24"/>
        </w:rPr>
      </w:pPr>
    </w:p>
    <w:p w:rsidR="00E117A4" w:rsidRPr="00E117A4" w:rsidRDefault="003C0AB6" w:rsidP="003C0AB6">
      <w:pPr>
        <w:spacing w:after="0" w:line="240" w:lineRule="auto"/>
        <w:jc w:val="both"/>
        <w:rPr>
          <w:rFonts w:ascii="Times New Roman" w:hAnsi="Times New Roman" w:cs="Times New Roman"/>
          <w:sz w:val="24"/>
          <w:szCs w:val="24"/>
        </w:rPr>
      </w:pPr>
      <w:r w:rsidRPr="003C0AB6">
        <w:rPr>
          <w:rFonts w:ascii="Times New Roman" w:hAnsi="Times New Roman" w:cs="Times New Roman"/>
          <w:sz w:val="24"/>
          <w:szCs w:val="24"/>
        </w:rPr>
        <w:t xml:space="preserve">According to </w:t>
      </w:r>
      <w:r w:rsidR="00E117A4" w:rsidRPr="00E117A4">
        <w:rPr>
          <w:rFonts w:ascii="Times New Roman" w:hAnsi="Times New Roman" w:cs="Times New Roman"/>
          <w:sz w:val="24"/>
          <w:szCs w:val="24"/>
        </w:rPr>
        <w:t>the BelStat innovation survey and the Belisa report</w:t>
      </w:r>
      <w:r w:rsidRPr="003C0AB6">
        <w:rPr>
          <w:rFonts w:ascii="Times New Roman" w:hAnsi="Times New Roman" w:cs="Times New Roman"/>
          <w:sz w:val="24"/>
          <w:szCs w:val="24"/>
        </w:rPr>
        <w:t xml:space="preserve">, several factors can be quoted as </w:t>
      </w:r>
      <w:r w:rsidR="00E117A4" w:rsidRPr="00E117A4">
        <w:rPr>
          <w:rFonts w:ascii="Times New Roman" w:hAnsi="Times New Roman" w:cs="Times New Roman"/>
          <w:sz w:val="24"/>
          <w:szCs w:val="24"/>
        </w:rPr>
        <w:t xml:space="preserve">hampering </w:t>
      </w:r>
      <w:r w:rsidRPr="003C0AB6">
        <w:rPr>
          <w:rFonts w:ascii="Times New Roman" w:hAnsi="Times New Roman" w:cs="Times New Roman"/>
          <w:sz w:val="24"/>
          <w:szCs w:val="24"/>
        </w:rPr>
        <w:t>innovations by firms</w:t>
      </w:r>
      <w:r w:rsidR="00E117A4" w:rsidRPr="00E117A4">
        <w:rPr>
          <w:rFonts w:ascii="Times New Roman" w:hAnsi="Times New Roman" w:cs="Times New Roman"/>
          <w:sz w:val="24"/>
          <w:szCs w:val="24"/>
        </w:rPr>
        <w:t>. Table 17 summarizes the average values of hampering factors</w:t>
      </w:r>
      <w:r>
        <w:rPr>
          <w:rFonts w:ascii="Times New Roman" w:hAnsi="Times New Roman" w:cs="Times New Roman"/>
          <w:sz w:val="24"/>
          <w:szCs w:val="24"/>
        </w:rPr>
        <w:t xml:space="preserve"> according to survey information</w:t>
      </w:r>
      <w:r w:rsidR="00E117A4" w:rsidRPr="00E117A4">
        <w:rPr>
          <w:rFonts w:ascii="Times New Roman" w:hAnsi="Times New Roman" w:cs="Times New Roman"/>
          <w:sz w:val="24"/>
          <w:szCs w:val="24"/>
        </w:rPr>
        <w:t>.</w:t>
      </w:r>
    </w:p>
    <w:p w:rsidR="00E117A4" w:rsidRPr="00E117A4" w:rsidRDefault="00E117A4" w:rsidP="00E117A4">
      <w:pPr>
        <w:spacing w:after="0" w:line="240" w:lineRule="auto"/>
        <w:rPr>
          <w:rFonts w:ascii="Times New Roman" w:eastAsia="Times New Roman" w:hAnsi="Times New Roman" w:cs="Times New Roman"/>
          <w:sz w:val="20"/>
          <w:szCs w:val="20"/>
          <w:lang w:eastAsia="hu-HU"/>
        </w:rPr>
      </w:pPr>
    </w:p>
    <w:p w:rsidR="00E117A4" w:rsidRPr="00852910" w:rsidRDefault="00E117A4" w:rsidP="00E117A4">
      <w:pPr>
        <w:spacing w:after="0" w:line="240" w:lineRule="auto"/>
        <w:contextualSpacing/>
        <w:jc w:val="center"/>
        <w:rPr>
          <w:rFonts w:ascii="Times New Roman" w:eastAsia="Times New Roman" w:hAnsi="Times New Roman" w:cs="Times New Roman"/>
          <w:sz w:val="24"/>
          <w:szCs w:val="20"/>
          <w:lang w:eastAsia="hu-HU"/>
        </w:rPr>
      </w:pPr>
      <w:r w:rsidRPr="00852910">
        <w:rPr>
          <w:rFonts w:ascii="Times New Roman" w:eastAsia="Times New Roman" w:hAnsi="Times New Roman" w:cs="Times New Roman"/>
          <w:sz w:val="24"/>
          <w:szCs w:val="20"/>
          <w:lang w:eastAsia="hu-HU"/>
        </w:rPr>
        <w:t xml:space="preserve"> Table 17 Rating of factors hampering innovation in industrial sector in 2014</w:t>
      </w:r>
    </w:p>
    <w:tbl>
      <w:tblPr>
        <w:tblStyle w:val="GridTable1Ligh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363"/>
      </w:tblGrid>
      <w:tr w:rsidR="00E117A4" w:rsidRPr="00E117A4" w:rsidTr="00C37F3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noWrap/>
            <w:hideMark/>
          </w:tcPr>
          <w:p w:rsidR="00E117A4" w:rsidRPr="00E117A4" w:rsidRDefault="00E117A4" w:rsidP="00E117A4">
            <w:pPr>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 </w:t>
            </w:r>
          </w:p>
        </w:tc>
        <w:tc>
          <w:tcPr>
            <w:tcW w:w="0" w:type="auto"/>
            <w:tcBorders>
              <w:bottom w:val="none" w:sz="0" w:space="0" w:color="auto"/>
            </w:tcBorders>
            <w:noWrap/>
            <w:hideMark/>
          </w:tcPr>
          <w:p w:rsidR="00E117A4" w:rsidRPr="00E117A4" w:rsidRDefault="00E117A4" w:rsidP="00E11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Average value</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rsidR="00E117A4" w:rsidRPr="004E7577" w:rsidRDefault="00E117A4" w:rsidP="00E117A4">
            <w:pPr>
              <w:jc w:val="center"/>
              <w:rPr>
                <w:rFonts w:ascii="Times New Roman" w:eastAsia="Times New Roman" w:hAnsi="Times New Roman" w:cs="Times New Roman"/>
                <w:b w:val="0"/>
                <w:sz w:val="20"/>
                <w:szCs w:val="20"/>
                <w:lang w:eastAsia="hu-HU"/>
              </w:rPr>
            </w:pPr>
            <w:r w:rsidRPr="004E7577">
              <w:rPr>
                <w:rFonts w:ascii="Times New Roman" w:eastAsia="Times New Roman" w:hAnsi="Times New Roman" w:cs="Times New Roman"/>
                <w:b w:val="0"/>
                <w:sz w:val="20"/>
                <w:szCs w:val="20"/>
                <w:lang w:eastAsia="hu-HU"/>
              </w:rPr>
              <w:t>Economic factors</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lack of funds within the organisation</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2</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31</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cost too high</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2</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18</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excessive perceived risks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98</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long payback time of innovations</w:t>
            </w:r>
          </w:p>
        </w:tc>
        <w:tc>
          <w:tcPr>
            <w:tcW w:w="0" w:type="auto"/>
            <w:noWrap/>
            <w:hideMark/>
          </w:tcPr>
          <w:p w:rsidR="00E117A4" w:rsidRPr="00E117A4" w:rsidRDefault="00E117A4" w:rsidP="00E117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94</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lack of financial support from public sources</w:t>
            </w:r>
          </w:p>
        </w:tc>
        <w:tc>
          <w:tcPr>
            <w:tcW w:w="0" w:type="auto"/>
            <w:noWrap/>
            <w:hideMark/>
          </w:tcPr>
          <w:p w:rsidR="00E117A4" w:rsidRPr="00E117A4" w:rsidRDefault="009B57C2" w:rsidP="00E117A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w:t>
            </w:r>
            <w:r w:rsidR="00E117A4" w:rsidRPr="00E117A4">
              <w:rPr>
                <w:rFonts w:ascii="Times New Roman" w:eastAsia="Times New Roman" w:hAnsi="Times New Roman" w:cs="Times New Roman"/>
                <w:sz w:val="20"/>
                <w:szCs w:val="20"/>
                <w:lang w:eastAsia="hu-HU"/>
              </w:rPr>
              <w:t>79</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low consumer demand for new products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71</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rsidR="00E117A4" w:rsidRPr="004E7577" w:rsidRDefault="00E117A4" w:rsidP="00E117A4">
            <w:pPr>
              <w:jc w:val="center"/>
              <w:rPr>
                <w:rFonts w:ascii="Times New Roman" w:eastAsia="Times New Roman" w:hAnsi="Times New Roman" w:cs="Times New Roman"/>
                <w:b w:val="0"/>
                <w:sz w:val="20"/>
                <w:szCs w:val="20"/>
                <w:lang w:eastAsia="hu-HU"/>
              </w:rPr>
            </w:pPr>
            <w:r w:rsidRPr="004E7577">
              <w:rPr>
                <w:rFonts w:ascii="Times New Roman" w:eastAsia="Times New Roman" w:hAnsi="Times New Roman" w:cs="Times New Roman"/>
                <w:b w:val="0"/>
                <w:sz w:val="20"/>
                <w:szCs w:val="20"/>
                <w:lang w:eastAsia="hu-HU"/>
              </w:rPr>
              <w:t>Production factors</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innovation potential insufficient</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75</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lack of qualified personnel</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59</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lack of information on markets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42</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lack of information on new technology</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38</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difficulty in finding co-operation partners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35</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non-responsiveness of the organisation to innovation</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31</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rsidR="00E117A4" w:rsidRPr="004E7577" w:rsidRDefault="00E117A4" w:rsidP="00E117A4">
            <w:pPr>
              <w:jc w:val="center"/>
              <w:rPr>
                <w:rFonts w:ascii="Times New Roman" w:eastAsia="Times New Roman" w:hAnsi="Times New Roman" w:cs="Times New Roman"/>
                <w:b w:val="0"/>
                <w:sz w:val="20"/>
                <w:szCs w:val="20"/>
                <w:lang w:eastAsia="hu-HU"/>
              </w:rPr>
            </w:pPr>
            <w:r w:rsidRPr="004E7577">
              <w:rPr>
                <w:rFonts w:ascii="Times New Roman" w:eastAsia="Times New Roman" w:hAnsi="Times New Roman" w:cs="Times New Roman"/>
                <w:b w:val="0"/>
                <w:sz w:val="20"/>
                <w:szCs w:val="20"/>
                <w:lang w:eastAsia="hu-HU"/>
              </w:rPr>
              <w:t xml:space="preserve">Other factors </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undeveloped technology market</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59</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low demand for innovative products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58</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uncertainty of the period of innovation process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52</w:t>
            </w:r>
          </w:p>
        </w:tc>
      </w:tr>
      <w:tr w:rsidR="00E117A4" w:rsidRPr="00E117A4" w:rsidTr="00C37F37">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undeveloped innovation infrastructure (intermediary, information, legal, banking and other services)</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52</w:t>
            </w:r>
          </w:p>
        </w:tc>
      </w:tr>
      <w:tr w:rsidR="00E117A4" w:rsidRPr="00E117A4" w:rsidTr="00C37F37">
        <w:trPr>
          <w:trHeight w:val="270"/>
        </w:trPr>
        <w:tc>
          <w:tcPr>
            <w:cnfStyle w:val="001000000000" w:firstRow="0" w:lastRow="0" w:firstColumn="1" w:lastColumn="0" w:oddVBand="0" w:evenVBand="0" w:oddHBand="0" w:evenHBand="0" w:firstRowFirstColumn="0" w:firstRowLastColumn="0" w:lastRowFirstColumn="0" w:lastRowLastColumn="0"/>
            <w:tcW w:w="0" w:type="auto"/>
            <w:noWrap/>
            <w:hideMark/>
          </w:tcPr>
          <w:p w:rsidR="00E117A4" w:rsidRPr="00412747" w:rsidRDefault="00E117A4" w:rsidP="00E117A4">
            <w:pPr>
              <w:rPr>
                <w:rFonts w:ascii="Times New Roman" w:eastAsia="Times New Roman" w:hAnsi="Times New Roman" w:cs="Times New Roman"/>
                <w:b w:val="0"/>
                <w:sz w:val="20"/>
                <w:szCs w:val="20"/>
                <w:lang w:eastAsia="hu-HU"/>
              </w:rPr>
            </w:pPr>
            <w:r w:rsidRPr="00412747">
              <w:rPr>
                <w:rFonts w:ascii="Times New Roman" w:eastAsia="Times New Roman" w:hAnsi="Times New Roman" w:cs="Times New Roman"/>
                <w:b w:val="0"/>
                <w:sz w:val="20"/>
                <w:szCs w:val="20"/>
                <w:lang w:eastAsia="hu-HU"/>
              </w:rPr>
              <w:t xml:space="preserve">  shortcomings in legislation regulating and stimulating innovation activity</w:t>
            </w:r>
          </w:p>
        </w:tc>
        <w:tc>
          <w:tcPr>
            <w:tcW w:w="0" w:type="auto"/>
            <w:noWrap/>
            <w:hideMark/>
          </w:tcPr>
          <w:p w:rsidR="00E117A4" w:rsidRPr="00E117A4" w:rsidRDefault="00E117A4" w:rsidP="009B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u-HU"/>
              </w:rPr>
            </w:pPr>
            <w:r w:rsidRPr="00E117A4">
              <w:rPr>
                <w:rFonts w:ascii="Times New Roman" w:eastAsia="Times New Roman" w:hAnsi="Times New Roman" w:cs="Times New Roman"/>
                <w:sz w:val="20"/>
                <w:szCs w:val="20"/>
                <w:lang w:eastAsia="hu-HU"/>
              </w:rPr>
              <w:t>1</w:t>
            </w:r>
            <w:r w:rsidR="009B57C2">
              <w:rPr>
                <w:rFonts w:ascii="Times New Roman" w:eastAsia="Times New Roman" w:hAnsi="Times New Roman" w:cs="Times New Roman"/>
                <w:sz w:val="20"/>
                <w:szCs w:val="20"/>
                <w:lang w:eastAsia="hu-HU"/>
              </w:rPr>
              <w:t>.</w:t>
            </w:r>
            <w:r w:rsidRPr="00E117A4">
              <w:rPr>
                <w:rFonts w:ascii="Times New Roman" w:eastAsia="Times New Roman" w:hAnsi="Times New Roman" w:cs="Times New Roman"/>
                <w:sz w:val="20"/>
                <w:szCs w:val="20"/>
                <w:lang w:eastAsia="hu-HU"/>
              </w:rPr>
              <w:t>43</w:t>
            </w:r>
          </w:p>
        </w:tc>
      </w:tr>
    </w:tbl>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 xml:space="preserve">Source: author compilation from BelStat Science and Innovation Activity in the Republic of Belarus, Statistical Book, National Committee of the Republic of Belarus, Minsk 2015, table 6.37 </w:t>
      </w:r>
    </w:p>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Note:</w:t>
      </w:r>
    </w:p>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 xml:space="preserve">Applied </w:t>
      </w:r>
      <w:r w:rsidR="003C0AB6">
        <w:rPr>
          <w:rFonts w:ascii="Times New Roman" w:hAnsi="Times New Roman" w:cs="Times New Roman"/>
          <w:sz w:val="20"/>
          <w:szCs w:val="20"/>
        </w:rPr>
        <w:t>values</w:t>
      </w:r>
      <w:r w:rsidRPr="00E117A4">
        <w:rPr>
          <w:rFonts w:ascii="Times New Roman" w:hAnsi="Times New Roman" w:cs="Times New Roman"/>
          <w:sz w:val="20"/>
          <w:szCs w:val="20"/>
        </w:rPr>
        <w:t>: main or crucial =3; significant =2; insignificant =1</w:t>
      </w:r>
      <w:r w:rsidRPr="00E117A4">
        <w:rPr>
          <w:rFonts w:ascii="Times New Roman" w:hAnsi="Times New Roman" w:cs="Times New Roman"/>
          <w:sz w:val="20"/>
          <w:szCs w:val="20"/>
        </w:rPr>
        <w:tab/>
      </w:r>
    </w:p>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Number of firms answering: main or crucial = X3;  significant =X2; insignificant =X1</w:t>
      </w:r>
    </w:p>
    <w:p w:rsidR="00E117A4" w:rsidRPr="00E117A4" w:rsidRDefault="00E117A4" w:rsidP="00E117A4">
      <w:pPr>
        <w:spacing w:after="0" w:line="240" w:lineRule="auto"/>
        <w:rPr>
          <w:rFonts w:ascii="Times New Roman" w:hAnsi="Times New Roman" w:cs="Times New Roman"/>
          <w:sz w:val="20"/>
          <w:szCs w:val="20"/>
        </w:rPr>
      </w:pPr>
      <w:r w:rsidRPr="00E117A4">
        <w:rPr>
          <w:rFonts w:ascii="Times New Roman" w:hAnsi="Times New Roman" w:cs="Times New Roman"/>
          <w:sz w:val="20"/>
          <w:szCs w:val="20"/>
        </w:rPr>
        <w:t xml:space="preserve">Average value = </w:t>
      </w:r>
      <m:oMath>
        <m:f>
          <m:fPr>
            <m:ctrlPr>
              <w:rPr>
                <w:rFonts w:ascii="Cambria Math" w:hAnsi="Cambria Math" w:cs="Times New Roman"/>
                <w:i/>
                <w:szCs w:val="20"/>
              </w:rPr>
            </m:ctrlPr>
          </m:fPr>
          <m:num>
            <m:d>
              <m:dPr>
                <m:ctrlPr>
                  <w:rPr>
                    <w:rFonts w:ascii="Cambria Math" w:hAnsi="Cambria Math" w:cs="Times New Roman"/>
                    <w:i/>
                    <w:szCs w:val="20"/>
                  </w:rPr>
                </m:ctrlPr>
              </m:dPr>
              <m:e>
                <m:r>
                  <w:rPr>
                    <w:rFonts w:ascii="Cambria Math" w:hAnsi="Cambria Math" w:cs="Times New Roman"/>
                    <w:szCs w:val="20"/>
                  </w:rPr>
                  <m:t>1×X1</m:t>
                </m:r>
              </m:e>
            </m:d>
            <m:r>
              <w:rPr>
                <w:rFonts w:ascii="Cambria Math" w:hAnsi="Cambria Math" w:cs="Times New Roman"/>
                <w:szCs w:val="20"/>
              </w:rPr>
              <m:t>+</m:t>
            </m:r>
            <m:d>
              <m:dPr>
                <m:ctrlPr>
                  <w:rPr>
                    <w:rFonts w:ascii="Cambria Math" w:hAnsi="Cambria Math" w:cs="Times New Roman"/>
                    <w:i/>
                    <w:szCs w:val="20"/>
                  </w:rPr>
                </m:ctrlPr>
              </m:dPr>
              <m:e>
                <m:r>
                  <w:rPr>
                    <w:rFonts w:ascii="Cambria Math" w:hAnsi="Cambria Math" w:cs="Times New Roman"/>
                    <w:szCs w:val="20"/>
                  </w:rPr>
                  <m:t>2×X2</m:t>
                </m:r>
              </m:e>
            </m:d>
            <m:r>
              <w:rPr>
                <w:rFonts w:ascii="Cambria Math" w:hAnsi="Cambria Math" w:cs="Times New Roman"/>
                <w:szCs w:val="20"/>
              </w:rPr>
              <m:t>+(3×X3)</m:t>
            </m:r>
          </m:num>
          <m:den>
            <m:r>
              <w:rPr>
                <w:rFonts w:ascii="Cambria Math" w:hAnsi="Cambria Math" w:cs="Times New Roman"/>
                <w:szCs w:val="20"/>
              </w:rPr>
              <m:t>X1+X2+X3</m:t>
            </m:r>
          </m:den>
        </m:f>
      </m:oMath>
    </w:p>
    <w:p w:rsidR="00E117A4" w:rsidRPr="00E117A4" w:rsidRDefault="00E117A4" w:rsidP="00E117A4">
      <w:pPr>
        <w:spacing w:after="0" w:line="240" w:lineRule="auto"/>
        <w:contextualSpacing/>
        <w:jc w:val="center"/>
        <w:rPr>
          <w:rFonts w:ascii="Times New Roman" w:eastAsia="Times New Roman" w:hAnsi="Times New Roman" w:cs="Times New Roman"/>
          <w:b/>
          <w:sz w:val="24"/>
          <w:szCs w:val="20"/>
          <w:lang w:eastAsia="hu-HU"/>
        </w:rPr>
      </w:pPr>
    </w:p>
    <w:p w:rsidR="00E117A4" w:rsidRPr="00E117A4" w:rsidRDefault="00E117A4" w:rsidP="003050D8">
      <w:pPr>
        <w:spacing w:after="0" w:line="240" w:lineRule="auto"/>
        <w:jc w:val="both"/>
        <w:rPr>
          <w:rFonts w:ascii="Times New Roman" w:eastAsia="Times New Roman" w:hAnsi="Times New Roman" w:cs="Times New Roman"/>
          <w:sz w:val="24"/>
          <w:szCs w:val="24"/>
          <w:lang w:eastAsia="hu-HU"/>
        </w:rPr>
      </w:pPr>
      <w:r w:rsidRPr="00E117A4">
        <w:rPr>
          <w:rFonts w:ascii="Times New Roman" w:hAnsi="Times New Roman" w:cs="Times New Roman"/>
          <w:sz w:val="24"/>
          <w:szCs w:val="24"/>
        </w:rPr>
        <w:t>The most important hampering factors are economic ones. Lack of funds within the</w:t>
      </w:r>
      <w:r w:rsidRPr="00E117A4">
        <w:rPr>
          <w:rFonts w:ascii="Times New Roman" w:eastAsia="Times New Roman" w:hAnsi="Times New Roman" w:cs="Times New Roman"/>
          <w:i/>
          <w:sz w:val="24"/>
          <w:szCs w:val="24"/>
          <w:lang w:eastAsia="hu-HU"/>
        </w:rPr>
        <w:t xml:space="preserve"> organisation</w:t>
      </w:r>
      <w:r w:rsidRPr="00E117A4">
        <w:rPr>
          <w:rFonts w:ascii="Times New Roman" w:eastAsia="Times New Roman" w:hAnsi="Times New Roman" w:cs="Times New Roman"/>
          <w:sz w:val="24"/>
          <w:szCs w:val="24"/>
          <w:lang w:eastAsia="hu-HU"/>
        </w:rPr>
        <w:t xml:space="preserve"> is the strongest and that evaluation was </w:t>
      </w:r>
      <w:r w:rsidR="00630448">
        <w:rPr>
          <w:rFonts w:ascii="Times New Roman" w:eastAsia="Times New Roman" w:hAnsi="Times New Roman" w:cs="Times New Roman"/>
          <w:sz w:val="24"/>
          <w:szCs w:val="24"/>
          <w:lang w:eastAsia="hu-HU"/>
        </w:rPr>
        <w:t>confirmed</w:t>
      </w:r>
      <w:r w:rsidRPr="00E117A4">
        <w:rPr>
          <w:rFonts w:ascii="Times New Roman" w:eastAsia="Times New Roman" w:hAnsi="Times New Roman" w:cs="Times New Roman"/>
          <w:sz w:val="24"/>
          <w:szCs w:val="24"/>
          <w:lang w:eastAsia="hu-HU"/>
        </w:rPr>
        <w:t xml:space="preserve"> by interviews during the fact finding mission</w:t>
      </w:r>
      <w:r w:rsidR="003050D8">
        <w:rPr>
          <w:rFonts w:ascii="Times New Roman" w:eastAsia="Times New Roman" w:hAnsi="Times New Roman" w:cs="Times New Roman"/>
          <w:sz w:val="24"/>
          <w:szCs w:val="24"/>
          <w:lang w:eastAsia="hu-HU"/>
        </w:rPr>
        <w:t xml:space="preserve"> </w:t>
      </w:r>
      <w:r w:rsidR="003050D8" w:rsidRPr="00910ABF">
        <w:rPr>
          <w:rFonts w:ascii="Times New Roman" w:eastAsia="Times New Roman" w:hAnsi="Times New Roman" w:cs="Times New Roman"/>
          <w:sz w:val="24"/>
          <w:szCs w:val="24"/>
          <w:highlight w:val="yellow"/>
          <w:lang w:eastAsia="hu-HU"/>
        </w:rPr>
        <w:t>(See Case studies)</w:t>
      </w:r>
      <w:r w:rsidRPr="00E117A4">
        <w:rPr>
          <w:rFonts w:ascii="Times New Roman" w:eastAsia="Times New Roman" w:hAnsi="Times New Roman" w:cs="Times New Roman"/>
          <w:sz w:val="24"/>
          <w:szCs w:val="24"/>
          <w:lang w:eastAsia="hu-HU"/>
        </w:rPr>
        <w:t xml:space="preserve">. The lack of </w:t>
      </w:r>
      <w:r w:rsidRPr="00E117A4">
        <w:rPr>
          <w:rFonts w:ascii="Times New Roman" w:eastAsia="Times New Roman" w:hAnsi="Times New Roman" w:cs="Times New Roman"/>
          <w:i/>
          <w:sz w:val="24"/>
          <w:szCs w:val="24"/>
          <w:lang w:eastAsia="hu-HU"/>
        </w:rPr>
        <w:t>financial support from public resources</w:t>
      </w:r>
      <w:r w:rsidRPr="00E117A4">
        <w:rPr>
          <w:rFonts w:ascii="Times New Roman" w:eastAsia="Times New Roman" w:hAnsi="Times New Roman" w:cs="Times New Roman"/>
          <w:sz w:val="24"/>
          <w:szCs w:val="24"/>
          <w:lang w:eastAsia="hu-HU"/>
        </w:rPr>
        <w:t xml:space="preserve"> was evaluated as a less important factor. These differences in the evaluation of two financial resources highlights again the firms’ wish to finance their modernization and innovation from their own resources and th</w:t>
      </w:r>
      <w:r w:rsidR="00910ABF">
        <w:rPr>
          <w:rFonts w:ascii="Times New Roman" w:eastAsia="Times New Roman" w:hAnsi="Times New Roman" w:cs="Times New Roman"/>
          <w:sz w:val="24"/>
          <w:szCs w:val="24"/>
          <w:lang w:eastAsia="hu-HU"/>
        </w:rPr>
        <w:t>eir lack of expectations on</w:t>
      </w:r>
      <w:r w:rsidRPr="00E117A4">
        <w:rPr>
          <w:rFonts w:ascii="Times New Roman" w:eastAsia="Times New Roman" w:hAnsi="Times New Roman" w:cs="Times New Roman"/>
          <w:sz w:val="24"/>
          <w:szCs w:val="24"/>
          <w:lang w:eastAsia="hu-HU"/>
        </w:rPr>
        <w:t xml:space="preserve"> the availability of public resources. </w:t>
      </w:r>
      <w:r w:rsidR="003050D8">
        <w:rPr>
          <w:rFonts w:ascii="Times New Roman" w:eastAsia="Times New Roman" w:hAnsi="Times New Roman" w:cs="Times New Roman"/>
          <w:sz w:val="24"/>
          <w:szCs w:val="24"/>
          <w:lang w:eastAsia="hu-HU"/>
        </w:rPr>
        <w:t>Among</w:t>
      </w:r>
      <w:r w:rsidRPr="00E117A4">
        <w:rPr>
          <w:rFonts w:ascii="Times New Roman" w:eastAsia="Times New Roman" w:hAnsi="Times New Roman" w:cs="Times New Roman"/>
          <w:sz w:val="24"/>
          <w:szCs w:val="24"/>
          <w:lang w:eastAsia="hu-HU"/>
        </w:rPr>
        <w:t xml:space="preserve"> the production factors</w:t>
      </w:r>
      <w:r w:rsidR="00910ABF">
        <w:rPr>
          <w:rFonts w:ascii="Times New Roman" w:eastAsia="Times New Roman" w:hAnsi="Times New Roman" w:cs="Times New Roman"/>
          <w:sz w:val="24"/>
          <w:szCs w:val="24"/>
          <w:lang w:eastAsia="hu-HU"/>
        </w:rPr>
        <w:t>,</w:t>
      </w:r>
      <w:r w:rsidRPr="00E117A4">
        <w:rPr>
          <w:rFonts w:ascii="Times New Roman" w:eastAsia="Times New Roman" w:hAnsi="Times New Roman" w:cs="Times New Roman"/>
          <w:sz w:val="24"/>
          <w:szCs w:val="24"/>
          <w:lang w:eastAsia="hu-HU"/>
        </w:rPr>
        <w:t xml:space="preserve"> the </w:t>
      </w:r>
      <w:r w:rsidRPr="00E117A4">
        <w:rPr>
          <w:rFonts w:ascii="Times New Roman" w:eastAsia="Times New Roman" w:hAnsi="Times New Roman" w:cs="Times New Roman"/>
          <w:i/>
          <w:sz w:val="24"/>
          <w:szCs w:val="24"/>
          <w:lang w:eastAsia="hu-HU"/>
        </w:rPr>
        <w:t>insufficient innovation potential</w:t>
      </w:r>
      <w:r w:rsidRPr="00E117A4">
        <w:rPr>
          <w:rFonts w:ascii="Times New Roman" w:eastAsia="Times New Roman" w:hAnsi="Times New Roman" w:cs="Times New Roman"/>
          <w:sz w:val="24"/>
          <w:szCs w:val="24"/>
          <w:lang w:eastAsia="hu-HU"/>
        </w:rPr>
        <w:t xml:space="preserve"> and the </w:t>
      </w:r>
      <w:r w:rsidRPr="00E117A4">
        <w:rPr>
          <w:rFonts w:ascii="Times New Roman" w:eastAsia="Times New Roman" w:hAnsi="Times New Roman" w:cs="Times New Roman"/>
          <w:i/>
          <w:sz w:val="24"/>
          <w:szCs w:val="24"/>
          <w:lang w:eastAsia="hu-HU"/>
        </w:rPr>
        <w:t>lack of qualified personnel</w:t>
      </w:r>
      <w:r w:rsidRPr="00E117A4">
        <w:rPr>
          <w:rFonts w:ascii="Times New Roman" w:eastAsia="Times New Roman" w:hAnsi="Times New Roman" w:cs="Times New Roman"/>
          <w:sz w:val="24"/>
          <w:szCs w:val="24"/>
          <w:lang w:eastAsia="hu-HU"/>
        </w:rPr>
        <w:t xml:space="preserve"> are the main hampering factors </w:t>
      </w:r>
      <w:r w:rsidR="003050D8">
        <w:rPr>
          <w:rFonts w:ascii="Times New Roman" w:eastAsia="Times New Roman" w:hAnsi="Times New Roman" w:cs="Times New Roman"/>
          <w:sz w:val="24"/>
          <w:szCs w:val="24"/>
          <w:lang w:eastAsia="hu-HU"/>
        </w:rPr>
        <w:t>to</w:t>
      </w:r>
      <w:r w:rsidRPr="00E117A4">
        <w:rPr>
          <w:rFonts w:ascii="Times New Roman" w:eastAsia="Times New Roman" w:hAnsi="Times New Roman" w:cs="Times New Roman"/>
          <w:sz w:val="24"/>
          <w:szCs w:val="24"/>
          <w:lang w:eastAsia="hu-HU"/>
        </w:rPr>
        <w:t xml:space="preserve"> innovation.</w:t>
      </w:r>
    </w:p>
    <w:p w:rsidR="003050D8" w:rsidRDefault="003050D8" w:rsidP="003050D8">
      <w:pPr>
        <w:spacing w:after="0" w:line="240" w:lineRule="auto"/>
        <w:jc w:val="both"/>
        <w:rPr>
          <w:rFonts w:ascii="Times New Roman" w:eastAsia="Times New Roman" w:hAnsi="Times New Roman" w:cs="Times New Roman"/>
          <w:sz w:val="24"/>
          <w:szCs w:val="24"/>
          <w:lang w:eastAsia="hu-HU"/>
        </w:rPr>
      </w:pPr>
    </w:p>
    <w:p w:rsidR="00E117A4" w:rsidRPr="00E117A4" w:rsidRDefault="00E117A4" w:rsidP="003050D8">
      <w:pPr>
        <w:spacing w:after="0" w:line="240" w:lineRule="auto"/>
        <w:jc w:val="both"/>
        <w:rPr>
          <w:rFonts w:ascii="Times New Roman" w:hAnsi="Times New Roman" w:cs="Times New Roman"/>
          <w:color w:val="0070C0"/>
          <w:sz w:val="24"/>
          <w:szCs w:val="24"/>
        </w:rPr>
      </w:pPr>
      <w:r w:rsidRPr="00E117A4">
        <w:rPr>
          <w:rFonts w:ascii="Times New Roman" w:eastAsia="Times New Roman" w:hAnsi="Times New Roman" w:cs="Times New Roman"/>
          <w:sz w:val="24"/>
          <w:szCs w:val="24"/>
          <w:lang w:eastAsia="hu-HU"/>
        </w:rPr>
        <w:lastRenderedPageBreak/>
        <w:t>Belisa’s report</w:t>
      </w:r>
      <w:r w:rsidR="00910ABF">
        <w:rPr>
          <w:rFonts w:ascii="Times New Roman" w:eastAsia="Times New Roman" w:hAnsi="Times New Roman" w:cs="Times New Roman"/>
          <w:sz w:val="24"/>
          <w:szCs w:val="24"/>
          <w:lang w:eastAsia="hu-HU"/>
        </w:rPr>
        <w:t>, which is</w:t>
      </w:r>
      <w:r w:rsidRPr="00E117A4">
        <w:rPr>
          <w:rFonts w:ascii="Times New Roman" w:eastAsia="Times New Roman" w:hAnsi="Times New Roman" w:cs="Times New Roman"/>
          <w:sz w:val="24"/>
          <w:szCs w:val="24"/>
          <w:lang w:eastAsia="hu-HU"/>
        </w:rPr>
        <w:t xml:space="preserve"> based on surveys among the </w:t>
      </w:r>
      <w:r w:rsidRPr="00E117A4">
        <w:rPr>
          <w:rFonts w:ascii="Times New Roman" w:hAnsi="Times New Roman" w:cs="Times New Roman"/>
          <w:sz w:val="24"/>
          <w:szCs w:val="24"/>
        </w:rPr>
        <w:t>heads of companies</w:t>
      </w:r>
      <w:r w:rsidR="00910ABF">
        <w:rPr>
          <w:rFonts w:ascii="Times New Roman" w:hAnsi="Times New Roman" w:cs="Times New Roman"/>
          <w:sz w:val="24"/>
          <w:szCs w:val="24"/>
        </w:rPr>
        <w:t>,</w:t>
      </w:r>
      <w:r w:rsidRPr="00E117A4">
        <w:rPr>
          <w:rFonts w:ascii="Times New Roman" w:hAnsi="Times New Roman" w:cs="Times New Roman"/>
          <w:sz w:val="24"/>
          <w:szCs w:val="24"/>
        </w:rPr>
        <w:t xml:space="preserve"> also identified similar problems.</w:t>
      </w:r>
      <w:r w:rsidRPr="00E117A4">
        <w:rPr>
          <w:rFonts w:ascii="Times New Roman" w:hAnsi="Times New Roman" w:cs="Times New Roman"/>
          <w:sz w:val="24"/>
          <w:szCs w:val="24"/>
          <w:vertAlign w:val="superscript"/>
        </w:rPr>
        <w:footnoteReference w:id="25"/>
      </w:r>
      <w:r w:rsidRPr="00E117A4">
        <w:rPr>
          <w:rFonts w:ascii="Times New Roman" w:hAnsi="Times New Roman" w:cs="Times New Roman"/>
          <w:sz w:val="24"/>
          <w:szCs w:val="24"/>
        </w:rPr>
        <w:t xml:space="preserve"> According to this study </w:t>
      </w:r>
      <w:r w:rsidRPr="00E117A4">
        <w:rPr>
          <w:rFonts w:ascii="Times New Roman" w:eastAsia="Times New Roman" w:hAnsi="Times New Roman" w:cs="Times New Roman"/>
          <w:sz w:val="24"/>
          <w:szCs w:val="24"/>
          <w:lang w:eastAsia="hu-HU"/>
        </w:rPr>
        <w:t xml:space="preserve">the organizations have low innovative capacity, shortage of trained personnel (technical and scientific personnel), and limited financial possibilities for development. These problems characterize firms of all sizes. </w:t>
      </w:r>
    </w:p>
    <w:p w:rsidR="00933F36" w:rsidRDefault="00933F36" w:rsidP="00933F36">
      <w:pPr>
        <w:spacing w:after="0" w:line="240" w:lineRule="auto"/>
        <w:ind w:firstLine="709"/>
        <w:jc w:val="both"/>
        <w:rPr>
          <w:rFonts w:ascii="Times New Roman" w:hAnsi="Times New Roman" w:cs="Times New Roman"/>
          <w:sz w:val="24"/>
          <w:szCs w:val="24"/>
        </w:rPr>
      </w:pPr>
    </w:p>
    <w:p w:rsidR="00532061" w:rsidRPr="00EE0F3F" w:rsidRDefault="00532061" w:rsidP="00532061">
      <w:pPr>
        <w:spacing w:after="0" w:line="240" w:lineRule="auto"/>
        <w:jc w:val="both"/>
        <w:rPr>
          <w:rFonts w:ascii="Times New Roman" w:hAnsi="Times New Roman" w:cs="Times New Roman"/>
          <w:i/>
          <w:sz w:val="24"/>
          <w:szCs w:val="24"/>
        </w:rPr>
      </w:pPr>
      <w:r w:rsidRPr="00EE0F3F">
        <w:rPr>
          <w:rFonts w:ascii="Times New Roman" w:hAnsi="Times New Roman" w:cs="Times New Roman"/>
          <w:i/>
          <w:sz w:val="24"/>
          <w:szCs w:val="24"/>
        </w:rPr>
        <w:t>Typology of Belarusian firms innovators and</w:t>
      </w:r>
      <w:r w:rsidR="00BE720F">
        <w:rPr>
          <w:rFonts w:ascii="Times New Roman" w:hAnsi="Times New Roman" w:cs="Times New Roman"/>
          <w:i/>
          <w:sz w:val="24"/>
          <w:szCs w:val="24"/>
        </w:rPr>
        <w:t xml:space="preserve"> challenges of a</w:t>
      </w:r>
      <w:r w:rsidRPr="00EE0F3F">
        <w:rPr>
          <w:rFonts w:ascii="Times New Roman" w:hAnsi="Times New Roman" w:cs="Times New Roman"/>
          <w:i/>
          <w:sz w:val="24"/>
          <w:szCs w:val="24"/>
        </w:rPr>
        <w:t xml:space="preserve"> dual path of technology upgrading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Belarus has tens of new technology-based firms (NTBFs). Many of them base their success on knowledge from the Soviet period, very often linked to military industry or to the area where local companies had developed unique expertise like in measuring radiation due to Chernobyl disaster, or they are successful due to skilled software engineers in applications where barriers to entry are low. The core knowledge of such firms is their know-how or lead time, much less often patent. These companies understand well user needs and have developed an internal organisation which rewards meeting user needs. Often, they are supported by specific favourable measures like low taxation and discounted rents for premises. Very often they have good cooperation with universities regarding employment of graduates, much less regarding R&amp;D</w:t>
      </w:r>
      <w:r w:rsidR="00910ABF">
        <w:rPr>
          <w:rFonts w:ascii="Times New Roman" w:hAnsi="Times New Roman" w:cs="Times New Roman"/>
          <w:sz w:val="24"/>
          <w:szCs w:val="24"/>
        </w:rPr>
        <w:t xml:space="preserve"> </w:t>
      </w:r>
      <w:r w:rsidR="00910ABF" w:rsidRPr="00910ABF">
        <w:rPr>
          <w:rFonts w:ascii="Times New Roman" w:hAnsi="Times New Roman" w:cs="Times New Roman"/>
          <w:sz w:val="24"/>
          <w:szCs w:val="24"/>
          <w:highlight w:val="yellow"/>
        </w:rPr>
        <w:t>(See Case study</w:t>
      </w:r>
      <w:r w:rsidR="00910ABF">
        <w:rPr>
          <w:rFonts w:ascii="Times New Roman" w:hAnsi="Times New Roman" w:cs="Times New Roman"/>
          <w:sz w:val="24"/>
          <w:szCs w:val="24"/>
        </w:rPr>
        <w:t>)</w:t>
      </w:r>
      <w:r w:rsidRPr="00532061">
        <w:rPr>
          <w:rFonts w:ascii="Times New Roman" w:hAnsi="Times New Roman" w:cs="Times New Roman"/>
          <w:sz w:val="24"/>
          <w:szCs w:val="24"/>
        </w:rPr>
        <w:t xml:space="preserve">. They cooperate in R&amp;D with universities or academy institutes only if they have a specific problem that they cannot resolve. In fact, they cooperate much more with suppliers of materials and often with potential users.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These firms are in technological areas where technology – product gap is small or time required for conversion of technological knowledge into product</w:t>
      </w:r>
      <w:r w:rsidR="00BE720F">
        <w:rPr>
          <w:rFonts w:ascii="Times New Roman" w:hAnsi="Times New Roman" w:cs="Times New Roman"/>
          <w:sz w:val="24"/>
          <w:szCs w:val="24"/>
        </w:rPr>
        <w:t xml:space="preserve"> is</w:t>
      </w:r>
      <w:r w:rsidRPr="00532061">
        <w:rPr>
          <w:rFonts w:ascii="Times New Roman" w:hAnsi="Times New Roman" w:cs="Times New Roman"/>
          <w:sz w:val="24"/>
          <w:szCs w:val="24"/>
        </w:rPr>
        <w:t xml:space="preserve"> quite short. This enables them to convert technological knowledge directly into product or service without long and expensive R&amp;D process. They are in niche areas, not in commodity or standardised product businesses. Their expansion is about finding new niches or new uses of their technological knowledge.  Their markets when selling under their name are non-Western markets. They do export to Western markets (US, EU) but largely under different labels. The exporting to Western markets is the main threshold level</w:t>
      </w:r>
      <w:r w:rsidR="00156E90">
        <w:rPr>
          <w:rFonts w:ascii="Times New Roman" w:hAnsi="Times New Roman" w:cs="Times New Roman"/>
          <w:sz w:val="24"/>
          <w:szCs w:val="24"/>
        </w:rPr>
        <w:t>,</w:t>
      </w:r>
      <w:r w:rsidRPr="00532061">
        <w:rPr>
          <w:rFonts w:ascii="Times New Roman" w:hAnsi="Times New Roman" w:cs="Times New Roman"/>
          <w:sz w:val="24"/>
          <w:szCs w:val="24"/>
        </w:rPr>
        <w:t xml:space="preserve"> which only a few of them managed to cross.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NTBFs differ significantly from large Belarusian industrial enterprises which are still vertically integrated with their design and engineering capacities. This is partly due to lack of specialised domestic suppliers. Their major markets are CIS countries. They are often ISO9001 compliant, but the quality drive is not spread into the rest of economy which limits reliance of large firms on local SMEs.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Technology upgrading of Belarus takes place along two paths: a path of new technology-based </w:t>
      </w:r>
      <w:r w:rsidR="00BE720F">
        <w:rPr>
          <w:rFonts w:ascii="Times New Roman" w:hAnsi="Times New Roman" w:cs="Times New Roman"/>
          <w:sz w:val="24"/>
          <w:szCs w:val="24"/>
        </w:rPr>
        <w:t>businesses and large enterprises</w:t>
      </w:r>
      <w:r w:rsidRPr="00532061">
        <w:rPr>
          <w:rFonts w:ascii="Times New Roman" w:hAnsi="Times New Roman" w:cs="Times New Roman"/>
          <w:sz w:val="24"/>
          <w:szCs w:val="24"/>
        </w:rPr>
        <w:t xml:space="preserve">.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Among NTBFs, we can differentiate between specialised suppliers and so-called gazelles. Gazelles are high profile firms like EPAM which have grown based on unique technological </w:t>
      </w:r>
      <w:r w:rsidRPr="00532061">
        <w:rPr>
          <w:rFonts w:ascii="Times New Roman" w:hAnsi="Times New Roman" w:cs="Times New Roman"/>
          <w:sz w:val="24"/>
          <w:szCs w:val="24"/>
        </w:rPr>
        <w:lastRenderedPageBreak/>
        <w:t>knowledge and have ‘gone global’. Several small enterprises within Minsk high-tech park have the potential to develop into the similar type of companies. The key future point of disjunction is whether they will continue to develop as standalone firms or they will be able to integrate other local firms into its knowledge network which will generate a critical mass of complementary skills and knowledge which in turn can lead to the formation of clusters. Only then we can expect that this path of technology upgrading will have macroeconomic effects regarding increased productivity, jobs and value added in the economy.</w:t>
      </w:r>
    </w:p>
    <w:p w:rsidR="00BE720F" w:rsidRDefault="00BE720F"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However, the biggest numbers of NTBFs are specialised supplier firms which are of small or medium size serving specific market niches based on their understanding of user needs and accumulated know-how.  They usually operate as ‘knowledge brokers’ and are an indispensable part of national knowledge or innovation system. However, they are a rarely independent source of growth but are a necessary ingredient of growth of either gazelles or most often of the large enterprises.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Belarus is one of a few ex-transition economies that managed to preserve its organisational capabilities of large firms, </w:t>
      </w:r>
      <w:r w:rsidR="00BE720F">
        <w:rPr>
          <w:rFonts w:ascii="Times New Roman" w:hAnsi="Times New Roman" w:cs="Times New Roman"/>
          <w:sz w:val="24"/>
          <w:szCs w:val="24"/>
        </w:rPr>
        <w:t>although</w:t>
      </w:r>
      <w:r w:rsidRPr="00532061">
        <w:rPr>
          <w:rFonts w:ascii="Times New Roman" w:hAnsi="Times New Roman" w:cs="Times New Roman"/>
          <w:sz w:val="24"/>
          <w:szCs w:val="24"/>
        </w:rPr>
        <w:t xml:space="preserve"> its industry structure is lacking </w:t>
      </w:r>
      <w:r w:rsidR="00BE720F">
        <w:rPr>
          <w:rFonts w:ascii="Times New Roman" w:hAnsi="Times New Roman" w:cs="Times New Roman"/>
          <w:sz w:val="24"/>
          <w:szCs w:val="24"/>
        </w:rPr>
        <w:t xml:space="preserve">sufficient growth of </w:t>
      </w:r>
      <w:r w:rsidRPr="00532061">
        <w:rPr>
          <w:rFonts w:ascii="Times New Roman" w:hAnsi="Times New Roman" w:cs="Times New Roman"/>
          <w:sz w:val="24"/>
          <w:szCs w:val="24"/>
        </w:rPr>
        <w:t>SME</w:t>
      </w:r>
      <w:r w:rsidR="00BE720F">
        <w:rPr>
          <w:rFonts w:ascii="Times New Roman" w:hAnsi="Times New Roman" w:cs="Times New Roman"/>
          <w:sz w:val="24"/>
          <w:szCs w:val="24"/>
        </w:rPr>
        <w:t>s</w:t>
      </w:r>
      <w:r w:rsidRPr="00532061">
        <w:rPr>
          <w:rFonts w:ascii="Times New Roman" w:hAnsi="Times New Roman" w:cs="Times New Roman"/>
          <w:sz w:val="24"/>
          <w:szCs w:val="24"/>
        </w:rPr>
        <w:t>. This represents a potentially significant advantage regarding future growth potential and has been the mainstay of its employment and growth in the past. However, this group of enterprises is in dire need of restructuring if it was to continue to contribute to growth rather than syphon budgetary resources. Some of the large firms have preserved their previous levels of vertical integration which enabled them to produce complex products for the CIS markets at the price of lower productivity and sophistication. Some of them have strong clustering potential which has not yet been realised due to weakness regarding corporate governance, specialisation and the lacking layer of small competitive firms which would operate as subcontractors of the large enterprises. These companies are the major generators of employment which give them privileged position regarding the use of government subsidies and the costs of capital.</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These two types of firms are operating relatively independently of each other though in the long term they should be either cooperating or competing. Table 15 below summarises the major challenges of these two types of firms.</w:t>
      </w:r>
    </w:p>
    <w:p w:rsidR="00532061" w:rsidRDefault="00532061" w:rsidP="00532061">
      <w:pPr>
        <w:spacing w:after="0" w:line="240" w:lineRule="auto"/>
        <w:jc w:val="both"/>
        <w:rPr>
          <w:rFonts w:ascii="Times New Roman" w:hAnsi="Times New Roman" w:cs="Times New Roman"/>
          <w:sz w:val="24"/>
          <w:szCs w:val="24"/>
        </w:rPr>
      </w:pPr>
    </w:p>
    <w:p w:rsidR="00852910" w:rsidRPr="00532061" w:rsidRDefault="00852910" w:rsidP="00532061">
      <w:pPr>
        <w:spacing w:after="0" w:line="240" w:lineRule="auto"/>
        <w:jc w:val="both"/>
        <w:rPr>
          <w:rFonts w:ascii="Times New Roman" w:hAnsi="Times New Roman" w:cs="Times New Roman"/>
          <w:sz w:val="24"/>
          <w:szCs w:val="24"/>
        </w:rPr>
      </w:pPr>
      <w:r w:rsidRPr="00C23E4D">
        <w:rPr>
          <w:rFonts w:ascii="Times New Roman" w:hAnsi="Times New Roman" w:cs="Times New Roman"/>
          <w:b/>
        </w:rPr>
        <w:t>Table 15: Challenges of dual path of technology upgrading of Belarus</w:t>
      </w:r>
    </w:p>
    <w:tbl>
      <w:tblPr>
        <w:tblStyle w:val="ac"/>
        <w:tblW w:w="0" w:type="auto"/>
        <w:tblLook w:val="04A0" w:firstRow="1" w:lastRow="0" w:firstColumn="1" w:lastColumn="0" w:noHBand="0" w:noVBand="1"/>
      </w:tblPr>
      <w:tblGrid>
        <w:gridCol w:w="2838"/>
        <w:gridCol w:w="2839"/>
        <w:gridCol w:w="2839"/>
      </w:tblGrid>
      <w:tr w:rsidR="00043091" w:rsidRPr="00043091" w:rsidTr="00EB3BDB">
        <w:tc>
          <w:tcPr>
            <w:tcW w:w="2838" w:type="dxa"/>
          </w:tcPr>
          <w:p w:rsidR="00043091" w:rsidRPr="00C23E4D" w:rsidRDefault="00043091" w:rsidP="00043091">
            <w:pPr>
              <w:rPr>
                <w:rFonts w:ascii="Times New Roman" w:hAnsi="Times New Roman" w:cs="Times New Roman"/>
              </w:rPr>
            </w:pPr>
          </w:p>
        </w:tc>
        <w:tc>
          <w:tcPr>
            <w:tcW w:w="2839" w:type="dxa"/>
          </w:tcPr>
          <w:p w:rsidR="00043091" w:rsidRPr="00412747" w:rsidRDefault="00043091" w:rsidP="00043091">
            <w:pPr>
              <w:ind w:left="360"/>
              <w:rPr>
                <w:rFonts w:ascii="Times New Roman" w:hAnsi="Times New Roman" w:cs="Times New Roman"/>
                <w:i/>
                <w:sz w:val="20"/>
                <w:szCs w:val="20"/>
              </w:rPr>
            </w:pPr>
            <w:r w:rsidRPr="00412747">
              <w:rPr>
                <w:rFonts w:ascii="Times New Roman" w:hAnsi="Times New Roman" w:cs="Times New Roman"/>
                <w:i/>
                <w:sz w:val="20"/>
                <w:szCs w:val="20"/>
              </w:rPr>
              <w:t>New technology based firms</w:t>
            </w:r>
          </w:p>
        </w:tc>
        <w:tc>
          <w:tcPr>
            <w:tcW w:w="2839" w:type="dxa"/>
          </w:tcPr>
          <w:p w:rsidR="00043091" w:rsidRPr="00412747" w:rsidRDefault="00043091" w:rsidP="00043091">
            <w:pPr>
              <w:ind w:left="360"/>
              <w:rPr>
                <w:rFonts w:ascii="Times New Roman" w:hAnsi="Times New Roman" w:cs="Times New Roman"/>
                <w:i/>
                <w:sz w:val="20"/>
                <w:szCs w:val="20"/>
              </w:rPr>
            </w:pPr>
            <w:r w:rsidRPr="00412747">
              <w:rPr>
                <w:rFonts w:ascii="Times New Roman" w:hAnsi="Times New Roman" w:cs="Times New Roman"/>
                <w:i/>
                <w:sz w:val="20"/>
                <w:szCs w:val="20"/>
              </w:rPr>
              <w:t>Large enterprises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 xml:space="preserve">Focus </w:t>
            </w:r>
            <w:r w:rsidRPr="00412747">
              <w:rPr>
                <w:rFonts w:ascii="Times New Roman" w:hAnsi="Times New Roman" w:cs="Times New Roman"/>
                <w:i/>
                <w:noProof/>
                <w:sz w:val="20"/>
                <w:szCs w:val="20"/>
              </w:rPr>
              <w:t>on</w:t>
            </w:r>
            <w:r w:rsidRPr="00412747">
              <w:rPr>
                <w:rFonts w:ascii="Times New Roman" w:hAnsi="Times New Roman" w:cs="Times New Roman"/>
                <w:i/>
                <w:sz w:val="20"/>
                <w:szCs w:val="20"/>
              </w:rPr>
              <w:t xml:space="preserve"> technology upgrading </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Meeting user requirements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 xml:space="preserve">Improved quality </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 xml:space="preserve">Clustering </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Not yet present</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Not developed links with small firms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highlight w:val="yellow"/>
              </w:rPr>
              <w:t>Users</w:t>
            </w:r>
            <w:r w:rsidR="00BE720F" w:rsidRPr="00412747">
              <w:rPr>
                <w:rFonts w:ascii="Times New Roman" w:hAnsi="Times New Roman" w:cs="Times New Roman"/>
                <w:i/>
                <w:sz w:val="20"/>
                <w:szCs w:val="20"/>
              </w:rPr>
              <w:t xml:space="preserve"> Clients?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Large Belarusian enterprises and CIS exports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 xml:space="preserve">CIS export except software where export to the West is developing </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Growth strategy</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New niches or new user needs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Standardised and low cost products for the CIS customers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Nature of accumulated capabilities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 xml:space="preserve">Accumulated technological know how </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Accumulated production capabilities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Competition regime</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State support but competitive foreign markets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Extensive state subsidies but still secure position on CIS markets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Position in relation of global value chains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Mixed picture: some gazelles are integrating into global supply networks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Outside of Global Value Chains</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t>Competitive advantage</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 xml:space="preserve">Understanding of user needs and produce/service differentiation </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 xml:space="preserve">Standardised products with presumably acceptable value for </w:t>
            </w:r>
            <w:r w:rsidRPr="00412747">
              <w:rPr>
                <w:rFonts w:ascii="Times New Roman" w:hAnsi="Times New Roman" w:cs="Times New Roman"/>
                <w:sz w:val="20"/>
                <w:szCs w:val="20"/>
              </w:rPr>
              <w:lastRenderedPageBreak/>
              <w:t>money</w:t>
            </w:r>
          </w:p>
        </w:tc>
      </w:tr>
      <w:tr w:rsidR="00043091" w:rsidRPr="00043091" w:rsidTr="00EB3BDB">
        <w:tc>
          <w:tcPr>
            <w:tcW w:w="2838" w:type="dxa"/>
          </w:tcPr>
          <w:p w:rsidR="00043091" w:rsidRPr="00412747" w:rsidRDefault="00043091" w:rsidP="00043091">
            <w:pPr>
              <w:rPr>
                <w:rFonts w:ascii="Times New Roman" w:hAnsi="Times New Roman" w:cs="Times New Roman"/>
                <w:i/>
                <w:sz w:val="20"/>
                <w:szCs w:val="20"/>
              </w:rPr>
            </w:pPr>
            <w:r w:rsidRPr="00412747">
              <w:rPr>
                <w:rFonts w:ascii="Times New Roman" w:hAnsi="Times New Roman" w:cs="Times New Roman"/>
                <w:i/>
                <w:sz w:val="20"/>
                <w:szCs w:val="20"/>
              </w:rPr>
              <w:lastRenderedPageBreak/>
              <w:t>Supporting infrastructure (</w:t>
            </w:r>
            <w:r w:rsidR="007300BB">
              <w:rPr>
                <w:rFonts w:ascii="Times New Roman" w:hAnsi="Times New Roman" w:cs="Times New Roman"/>
                <w:i/>
                <w:sz w:val="20"/>
                <w:szCs w:val="20"/>
              </w:rPr>
              <w:t>Techno-park</w:t>
            </w:r>
            <w:r w:rsidRPr="00412747">
              <w:rPr>
                <w:rFonts w:ascii="Times New Roman" w:hAnsi="Times New Roman" w:cs="Times New Roman"/>
                <w:i/>
                <w:sz w:val="20"/>
                <w:szCs w:val="20"/>
              </w:rPr>
              <w:t>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Developed by public authorities</w:t>
            </w:r>
          </w:p>
        </w:tc>
        <w:tc>
          <w:tcPr>
            <w:tcW w:w="2839" w:type="dxa"/>
          </w:tcPr>
          <w:p w:rsidR="00043091" w:rsidRPr="00412747" w:rsidRDefault="00043091" w:rsidP="00043091">
            <w:pPr>
              <w:rPr>
                <w:rFonts w:ascii="Times New Roman" w:hAnsi="Times New Roman" w:cs="Times New Roman"/>
                <w:sz w:val="20"/>
                <w:szCs w:val="20"/>
              </w:rPr>
            </w:pPr>
            <w:r w:rsidRPr="00412747">
              <w:rPr>
                <w:rFonts w:ascii="Times New Roman" w:hAnsi="Times New Roman" w:cs="Times New Roman"/>
                <w:sz w:val="20"/>
                <w:szCs w:val="20"/>
              </w:rPr>
              <w:t>Not promoters of infrastructure for SMEs</w:t>
            </w:r>
          </w:p>
        </w:tc>
      </w:tr>
    </w:tbl>
    <w:p w:rsidR="00043091" w:rsidRDefault="0004309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A summary of their main features in Table 15 shows that the NTBFs have not yet built new ecosystems or have not become the main drivers of growth. So, although significant regarding distinctive RDI capabilities their macroeconomic impacts are still not very significant.  Minsk high-tech park is on the way to becoming innovation ecosystem with potential macroeconomic impacts. However, this process is long-term, and it requires shared visions based on consensus building and collective action.  So far, the key to the success of HT park - leadership, a close link to the education system and collective action or coordination between different parts of government by providing a stable environment- have been preserved, and it is hoped that they will continue to be present.</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A key policy challenge is how to couple and complement two paths of industry upgrading</w:t>
      </w:r>
      <w:r w:rsidR="00BE720F">
        <w:rPr>
          <w:rFonts w:ascii="Times New Roman" w:hAnsi="Times New Roman" w:cs="Times New Roman"/>
          <w:sz w:val="24"/>
          <w:szCs w:val="24"/>
        </w:rPr>
        <w:t>.</w:t>
      </w:r>
      <w:r w:rsidRPr="00532061">
        <w:rPr>
          <w:rFonts w:ascii="Times New Roman" w:hAnsi="Times New Roman" w:cs="Times New Roman"/>
          <w:sz w:val="24"/>
          <w:szCs w:val="24"/>
        </w:rPr>
        <w:t xml:space="preserve"> </w:t>
      </w:r>
      <w:r w:rsidR="00BE720F">
        <w:rPr>
          <w:rFonts w:ascii="Times New Roman" w:hAnsi="Times New Roman" w:cs="Times New Roman"/>
          <w:sz w:val="24"/>
          <w:szCs w:val="24"/>
        </w:rPr>
        <w:t xml:space="preserve">However, the </w:t>
      </w:r>
      <w:r w:rsidRPr="00532061">
        <w:rPr>
          <w:rFonts w:ascii="Times New Roman" w:hAnsi="Times New Roman" w:cs="Times New Roman"/>
          <w:sz w:val="24"/>
          <w:szCs w:val="24"/>
        </w:rPr>
        <w:t xml:space="preserve">ongoing orientation of Belarusian RDI policy has not recognised the need to enhance complementarities between these two paths.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Innovation policy of Belarus is strongly oriented towards commercialization of its R&amp;D results. Specifically, the policy is concerned on how to engage more entrepreneurs in innovative activities, how to address weaknesses in the implementation of commercialisation projects, how to shorten the time and improve the effectiveness of commercialization efforts. It has articulated strategic priorities in the area of R&amp;D and innovative development and has a long-standing system of implementation of state S&amp;T programs.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Belarusian R&amp;D and innovation policy were firmly oriented towards commercialization, and hence, the main challenge identified by policy makers are insufficient to support in the process from R&amp;D to commercialise products. Incentives to invest in demanding new products and processes are weak given risk and uncertainty about results but also given weak local demand for such endeavours. This is further exacerbated by the undeveloped market for technological knowledge and weaknesses of supporting infrastructure. On the positive side, one should emphasise the developed legal and financial support framework for growth of new technology-based firms, a high priority given to innovation by top policy makers and by political leadership and several high profile cases of successful technology-based growth.</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What underlies much of Belarusian R&amp;D and innovation policy is a simplified model of how R&amp;D and innovation impact economic growth, and how R&amp;D contributes to productivity, employment, and export.  The basis of the policy is R&amp;D push model or idea that R&amp;D and knowledge intensive activities can directly generate increased value added, growth and jobs.</w:t>
      </w:r>
      <w:r w:rsidR="00630448">
        <w:rPr>
          <w:rFonts w:ascii="Times New Roman" w:hAnsi="Times New Roman" w:cs="Times New Roman"/>
          <w:sz w:val="24"/>
          <w:szCs w:val="24"/>
        </w:rPr>
        <w:t xml:space="preserve"> However, modern innovation policies</w:t>
      </w:r>
      <w:r w:rsidRPr="00532061">
        <w:rPr>
          <w:rFonts w:ascii="Times New Roman" w:hAnsi="Times New Roman" w:cs="Times New Roman"/>
          <w:sz w:val="24"/>
          <w:szCs w:val="24"/>
        </w:rPr>
        <w:t xml:space="preserve"> also requires business enterprises that are in close contact with markets, and that can successfully address different performance - costs trade-offs.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R&amp;</w:t>
      </w:r>
      <w:r w:rsidR="00BE720F">
        <w:rPr>
          <w:rFonts w:ascii="Times New Roman" w:hAnsi="Times New Roman" w:cs="Times New Roman"/>
          <w:sz w:val="24"/>
          <w:szCs w:val="24"/>
        </w:rPr>
        <w:t>D</w:t>
      </w:r>
      <w:r w:rsidRPr="00532061">
        <w:rPr>
          <w:rFonts w:ascii="Times New Roman" w:hAnsi="Times New Roman" w:cs="Times New Roman"/>
          <w:sz w:val="24"/>
          <w:szCs w:val="24"/>
        </w:rPr>
        <w:t xml:space="preserve"> is not the only mode of innovation as many industries operate based on so-called DUI or Doing, Using and Interacting mode of innovation (Jensen, Johnson, Lorenz and Lundvall 2004 ). This is the mode of technology upgrading at firm level which is generated by employees, engineers and enterprises partners in solving ambitious and less ambitious development and production challenges. It is mistakenly assumed that only first mode of innovation – R&amp;D push or STI-mode matters for growth and productivity. Evidence shows that DUI mode is equally important and that both ways of innovation are necessary and </w:t>
      </w:r>
      <w:r w:rsidRPr="00532061">
        <w:rPr>
          <w:rFonts w:ascii="Times New Roman" w:hAnsi="Times New Roman" w:cs="Times New Roman"/>
          <w:sz w:val="24"/>
          <w:szCs w:val="24"/>
        </w:rPr>
        <w:lastRenderedPageBreak/>
        <w:t xml:space="preserve">should be complementary. R&amp;D is also critical in this mode of innovation but in its absorptive capacity, i.e., firms and country need to undertake R&amp;D not only to generate new products and processes but also to be able to absorb new knowledge and to adapt imported technologies. </w:t>
      </w:r>
    </w:p>
    <w:p w:rsidR="00532061" w:rsidRPr="00532061" w:rsidRDefault="00532061" w:rsidP="00532061">
      <w:pPr>
        <w:spacing w:after="0" w:line="240" w:lineRule="auto"/>
        <w:jc w:val="both"/>
        <w:rPr>
          <w:rFonts w:ascii="Times New Roman" w:hAnsi="Times New Roman" w:cs="Times New Roman"/>
          <w:sz w:val="24"/>
          <w:szCs w:val="24"/>
        </w:rPr>
      </w:pPr>
    </w:p>
    <w:p w:rsidR="00532061" w:rsidRP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 xml:space="preserve">This neglect of DUI mode of innovation in Belarusian policy explains diminished importance given to the quality of products, incremental innovations in firms, cost-reduction programs, non-R&amp;D innovation, engineering improvements (process and products engineering), and management practices. These are areas that are not in the policy focus or far from sufficient. </w:t>
      </w:r>
    </w:p>
    <w:p w:rsidR="00532061" w:rsidRPr="00532061" w:rsidRDefault="00532061" w:rsidP="00532061">
      <w:pPr>
        <w:spacing w:after="0" w:line="240" w:lineRule="auto"/>
        <w:jc w:val="both"/>
        <w:rPr>
          <w:rFonts w:ascii="Times New Roman" w:hAnsi="Times New Roman" w:cs="Times New Roman"/>
          <w:sz w:val="24"/>
          <w:szCs w:val="24"/>
        </w:rPr>
      </w:pPr>
    </w:p>
    <w:p w:rsidR="00532061" w:rsidRDefault="00532061" w:rsidP="00532061">
      <w:pPr>
        <w:spacing w:after="0" w:line="240" w:lineRule="auto"/>
        <w:jc w:val="both"/>
        <w:rPr>
          <w:rFonts w:ascii="Times New Roman" w:hAnsi="Times New Roman" w:cs="Times New Roman"/>
          <w:sz w:val="24"/>
          <w:szCs w:val="24"/>
        </w:rPr>
      </w:pPr>
      <w:r w:rsidRPr="00532061">
        <w:rPr>
          <w:rFonts w:ascii="Times New Roman" w:hAnsi="Times New Roman" w:cs="Times New Roman"/>
          <w:sz w:val="24"/>
          <w:szCs w:val="24"/>
        </w:rPr>
        <w:t>In summary, when compared to supply side or R&amp;D push programs</w:t>
      </w:r>
      <w:r w:rsidR="00630448">
        <w:rPr>
          <w:rFonts w:ascii="Times New Roman" w:hAnsi="Times New Roman" w:cs="Times New Roman"/>
          <w:sz w:val="24"/>
          <w:szCs w:val="24"/>
        </w:rPr>
        <w:t>,</w:t>
      </w:r>
      <w:r w:rsidRPr="00532061">
        <w:rPr>
          <w:rFonts w:ascii="Times New Roman" w:hAnsi="Times New Roman" w:cs="Times New Roman"/>
          <w:sz w:val="24"/>
          <w:szCs w:val="24"/>
        </w:rPr>
        <w:t xml:space="preserve"> insufficient attention is given to demand-led innovation or technological activities which firms would need to undertake to meet the quality standards on the most demanding export markets. Instead, there is strong policy focus on commercialisation with the aim to sell ‘disembodied’ technological knowledge in forms of patent licences, and know how despite its minor economic significance regarding value added, job creation and export. </w:t>
      </w:r>
    </w:p>
    <w:p w:rsidR="002852F5" w:rsidRDefault="002852F5" w:rsidP="002852F5">
      <w:pPr>
        <w:pStyle w:val="afb"/>
        <w:spacing w:before="0"/>
        <w:rPr>
          <w:sz w:val="24"/>
          <w:szCs w:val="24"/>
        </w:rPr>
      </w:pPr>
      <w:bookmarkStart w:id="20" w:name="_Toc455497891"/>
      <w:bookmarkStart w:id="21" w:name="_Toc455499250"/>
    </w:p>
    <w:p w:rsidR="00D94687" w:rsidRPr="00FC4864" w:rsidRDefault="00D94687" w:rsidP="002852F5">
      <w:pPr>
        <w:pStyle w:val="afb"/>
        <w:spacing w:before="0"/>
        <w:rPr>
          <w:rFonts w:asciiTheme="minorHAnsi" w:hAnsiTheme="minorHAnsi" w:cstheme="minorHAnsi"/>
          <w:color w:val="auto"/>
          <w:sz w:val="24"/>
          <w:szCs w:val="24"/>
        </w:rPr>
      </w:pPr>
      <w:r w:rsidRPr="00FC4864">
        <w:rPr>
          <w:rFonts w:asciiTheme="minorHAnsi" w:hAnsiTheme="minorHAnsi" w:cstheme="minorHAnsi"/>
          <w:color w:val="auto"/>
          <w:sz w:val="24"/>
          <w:szCs w:val="24"/>
        </w:rPr>
        <w:t>Chapter 5</w:t>
      </w:r>
      <w:bookmarkEnd w:id="20"/>
      <w:r w:rsidR="00FD2D8E" w:rsidRPr="00FC4864">
        <w:rPr>
          <w:rFonts w:asciiTheme="minorHAnsi" w:hAnsiTheme="minorHAnsi" w:cstheme="minorHAnsi"/>
          <w:color w:val="auto"/>
          <w:sz w:val="24"/>
          <w:szCs w:val="24"/>
        </w:rPr>
        <w:t xml:space="preserve">: </w:t>
      </w:r>
      <w:r w:rsidR="00037F51">
        <w:rPr>
          <w:rFonts w:asciiTheme="minorHAnsi" w:hAnsiTheme="minorHAnsi" w:cstheme="minorHAnsi"/>
          <w:color w:val="auto"/>
          <w:sz w:val="24"/>
          <w:szCs w:val="24"/>
        </w:rPr>
        <w:t>r</w:t>
      </w:r>
      <w:r w:rsidR="00FD2D8E" w:rsidRPr="00FC4864">
        <w:rPr>
          <w:rFonts w:asciiTheme="minorHAnsi" w:hAnsiTheme="minorHAnsi" w:cstheme="minorHAnsi"/>
          <w:color w:val="auto"/>
          <w:sz w:val="24"/>
          <w:szCs w:val="24"/>
        </w:rPr>
        <w:t>ole of innovation policy in achieving sustainable development</w:t>
      </w:r>
      <w:bookmarkEnd w:id="21"/>
    </w:p>
    <w:p w:rsidR="00D94687" w:rsidRDefault="00D94687" w:rsidP="00D94687">
      <w:pPr>
        <w:spacing w:after="0" w:line="240" w:lineRule="auto"/>
        <w:jc w:val="both"/>
        <w:rPr>
          <w:rFonts w:ascii="Times New Roman" w:hAnsi="Times New Roman" w:cs="Times New Roman"/>
          <w:sz w:val="24"/>
          <w:szCs w:val="24"/>
          <w:lang w:val="en-US"/>
        </w:rPr>
      </w:pPr>
    </w:p>
    <w:p w:rsidR="001D5A43"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In Belarus, government policies for the promotion of innovation are embedded in the country’s broader sustainable development agenda, which among other goals aims to reduce major negative anthropogenic effects on the environment and promote social inclusion. This chapter presents an assessment of the role of innovation policies in Government strategies and policies for achieving such objectives. The first section considers the country’s national strategy for sustainable development till 2030 in light of recent international initiatives that have highlighted the role of innovation (i.e. the Addis Ababa Action Plan and the 2030 Agenda for Sustainable Development). This section also includes a summary of the country’s recent trends on environmental management and describes the existing legal and institutional frameworks for the implementation of socially and environmentally significant innovations. </w:t>
      </w:r>
    </w:p>
    <w:p w:rsidR="001D5A43" w:rsidRDefault="001D5A43" w:rsidP="00D94687">
      <w:pPr>
        <w:spacing w:after="0" w:line="240" w:lineRule="auto"/>
        <w:jc w:val="both"/>
        <w:rPr>
          <w:rFonts w:ascii="Times New Roman" w:hAnsi="Times New Roman" w:cs="Times New Roman"/>
          <w:sz w:val="24"/>
          <w:szCs w:val="24"/>
          <w:lang w:val="en-US"/>
        </w:rPr>
      </w:pPr>
    </w:p>
    <w:p w:rsidR="00D94687" w:rsidRDefault="001D5A43" w:rsidP="00D9468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Another</w:t>
      </w:r>
      <w:r w:rsidR="00D94687" w:rsidRPr="00D94687">
        <w:rPr>
          <w:rFonts w:ascii="Times New Roman" w:hAnsi="Times New Roman" w:cs="Times New Roman"/>
          <w:sz w:val="24"/>
          <w:szCs w:val="24"/>
          <w:lang w:val="en-US"/>
        </w:rPr>
        <w:t xml:space="preserve"> section describes the emergence of green economies in Belarus and assesses key elements of policies, programmes and recent initiatives to promote energy efficiency and other innovations for sustainable development. Overall, markets for green economies and the “sharing” economy are only incipient in Belarus. However; in some areas important experiences have occurred with the help of international partners that could inform policy making in the longer-run. The recommendations focus on measures to improve innovation performance by national institutions and firms in green sectors as well as on creating awareness in population that could result in enhanced markets for sustainable products.</w:t>
      </w:r>
    </w:p>
    <w:p w:rsidR="00D94687" w:rsidRPr="00D94687" w:rsidRDefault="00D94687" w:rsidP="00D94687">
      <w:pPr>
        <w:spacing w:after="0" w:line="240" w:lineRule="auto"/>
        <w:jc w:val="both"/>
        <w:rPr>
          <w:rFonts w:ascii="Times New Roman" w:hAnsi="Times New Roman" w:cs="Times New Roman"/>
          <w:sz w:val="24"/>
          <w:szCs w:val="24"/>
          <w:lang w:val="en-US"/>
        </w:rPr>
      </w:pPr>
    </w:p>
    <w:p w:rsidR="00D94687"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Innovation policies are embedded in Belarus’ national development strategy, the National Strategy for Sustainable Socio-Economic Development in the Republic of Belarus until 2030 (NSSSED-2030), which is the main policy document that sets the framework for sustainable development in the country. NSSSED-2030 was prepared based on previous policy documents and programmes, including the National Strategy on Socio-Economic Development for Belarus 2016-2020 (NSSD-2020), which was structured around three areas or pillars: economic, social and the environment. </w:t>
      </w:r>
    </w:p>
    <w:p w:rsidR="00D94687" w:rsidRPr="00D94687" w:rsidRDefault="00D94687" w:rsidP="00D94687">
      <w:pPr>
        <w:spacing w:after="0" w:line="240" w:lineRule="auto"/>
        <w:jc w:val="both"/>
        <w:rPr>
          <w:rFonts w:ascii="Times New Roman" w:hAnsi="Times New Roman" w:cs="Times New Roman"/>
          <w:sz w:val="24"/>
          <w:szCs w:val="24"/>
          <w:lang w:val="en-US"/>
        </w:rPr>
      </w:pPr>
    </w:p>
    <w:p w:rsidR="00D94687"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In general, the NSSSED-2030 shows that a comprehensive national development strategy exists, which is further supported by specific strategies and sector development plans. Indeed, </w:t>
      </w:r>
      <w:r w:rsidRPr="00D94687">
        <w:rPr>
          <w:rFonts w:ascii="Times New Roman" w:hAnsi="Times New Roman" w:cs="Times New Roman"/>
          <w:sz w:val="24"/>
          <w:szCs w:val="24"/>
          <w:lang w:val="en-US"/>
        </w:rPr>
        <w:lastRenderedPageBreak/>
        <w:t xml:space="preserve">many of the objectives for scientific development of the NSSSED-2030 have already been included in specific policy documents by the SCST, as discussed in Chapter 2.  </w:t>
      </w:r>
    </w:p>
    <w:p w:rsidR="00D94687" w:rsidRPr="00D94687" w:rsidRDefault="00D94687" w:rsidP="00D94687">
      <w:pPr>
        <w:spacing w:after="0" w:line="240" w:lineRule="auto"/>
        <w:jc w:val="both"/>
        <w:rPr>
          <w:rFonts w:ascii="Times New Roman" w:hAnsi="Times New Roman" w:cs="Times New Roman"/>
          <w:sz w:val="24"/>
          <w:szCs w:val="24"/>
          <w:lang w:val="en-US"/>
        </w:rPr>
      </w:pPr>
    </w:p>
    <w:p w:rsidR="00D94687"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Still, the NSSSED envisages ambitious objectives to be achieved by the year 2030. Some of the few quantitative indicators included show highly optimistic expectations: the share of domestic expenditures on research and development is expected to increase from 0.7 per cent in 2015 to 2.5 per cent in 2030; and the share of non-State funded sources is expected to increase from 55 to 70 per cent. Also, the document lacks sufficient indicators of achievement to measure and account for progress made in many of the measures envisioned. As it was the case with other policy initiatives, the mechanisms for implementing such aspiring transformations are not spelled out in the NSSSED.  </w:t>
      </w:r>
    </w:p>
    <w:p w:rsidR="00D94687" w:rsidRPr="00D94687" w:rsidRDefault="00D94687" w:rsidP="00D94687">
      <w:pPr>
        <w:spacing w:after="0" w:line="240" w:lineRule="auto"/>
        <w:jc w:val="both"/>
        <w:rPr>
          <w:rFonts w:ascii="Times New Roman" w:hAnsi="Times New Roman" w:cs="Times New Roman"/>
          <w:sz w:val="24"/>
          <w:szCs w:val="24"/>
          <w:lang w:val="en-US"/>
        </w:rPr>
      </w:pPr>
    </w:p>
    <w:p w:rsidR="00D94687" w:rsidRPr="00D94687"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Finally, the strategic priority sectors for innovation policies included in the NSSSED have a bias towards sectors were Belarus already counts with significant edge (i.e. hi-tech industries, bio-technology, nuclear energy). Economic activities in other areas could also be prioritised for innovation, especially in sectors that are not capital intensive and could result on high social impact from the point of view of sustainable development through increased job creation and reduced informality (e.g. tourism, agro-industries, industrial manufacturing).  </w:t>
      </w:r>
    </w:p>
    <w:p w:rsidR="00D94687" w:rsidRPr="00D94687" w:rsidRDefault="00D94687" w:rsidP="00D94687">
      <w:pPr>
        <w:spacing w:after="0" w:line="240" w:lineRule="auto"/>
        <w:jc w:val="both"/>
        <w:rPr>
          <w:rFonts w:ascii="Times New Roman" w:hAnsi="Times New Roman" w:cs="Times New Roman"/>
          <w:sz w:val="24"/>
          <w:szCs w:val="24"/>
          <w:lang w:val="en-US"/>
        </w:rPr>
      </w:pPr>
      <w:r w:rsidRPr="00D94687">
        <w:rPr>
          <w:rFonts w:ascii="Times New Roman" w:hAnsi="Times New Roman" w:cs="Times New Roman"/>
          <w:sz w:val="24"/>
          <w:szCs w:val="24"/>
          <w:lang w:val="en-US"/>
        </w:rPr>
        <w:t xml:space="preserve">To improve the policy framework for implementation of SDG agendas, the Government may consider establishing an effective mechanism of inter-ministerial coordination based on an understanding of interdependency of different problems and factors, synergy of goals and efforts to effectively resolve cross-cutting issues. </w:t>
      </w:r>
    </w:p>
    <w:p w:rsidR="00D94687" w:rsidRPr="00532061" w:rsidRDefault="00D94687" w:rsidP="00532061">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The NSSSED-2030 was launched in parallel to some major international initiatives by the United Nations system that are likely to re-define global development priorities and the role of innovation policies therein. At the United Nations Sustainable Development Summit on 25 September 2015, world leaders adopted the 2030 Agenda for Sustainable Development. This action plan includes a series of actions to end poverty, fight inequality and injustice, and tackle climate change with the goal to achieve measureable outcomes by year 2030.  The Addis Ababa Action Agenda (AAAA) was adopted at the Third International Conference on Financing for Development, which took place in Addis Ababa in July 2015. The Declaration adopted by the Conference provides a new global financing framework to mobilize and deliver the resources, technology and partnerships needed for sustainable development. The agenda contains seven thematic areas that cover different aspects of the financing of sustainable development. Unlike the Agenda 2030, one full chapter of the AAAA concerns in particular the area of science, technology, innovation and capacity-building.</w:t>
      </w:r>
    </w:p>
    <w:p w:rsidR="00D94687" w:rsidRDefault="00D94687" w:rsidP="00532061">
      <w:pPr>
        <w:spacing w:after="0" w:line="240" w:lineRule="auto"/>
        <w:jc w:val="both"/>
        <w:rPr>
          <w:rFonts w:ascii="Times New Roman" w:hAnsi="Times New Roman" w:cs="Times New Roman"/>
          <w:sz w:val="24"/>
          <w:szCs w:val="24"/>
        </w:rPr>
      </w:pPr>
    </w:p>
    <w:p w:rsidR="00D94687" w:rsidRPr="00D94687" w:rsidRDefault="00D94687" w:rsidP="00D94687">
      <w:pPr>
        <w:spacing w:after="0" w:line="240" w:lineRule="auto"/>
        <w:jc w:val="both"/>
        <w:rPr>
          <w:rFonts w:ascii="Times New Roman" w:hAnsi="Times New Roman" w:cs="Times New Roman"/>
          <w:i/>
          <w:sz w:val="24"/>
          <w:szCs w:val="24"/>
        </w:rPr>
      </w:pPr>
      <w:r w:rsidRPr="00D94687">
        <w:rPr>
          <w:rFonts w:ascii="Times New Roman" w:hAnsi="Times New Roman" w:cs="Times New Roman"/>
          <w:i/>
          <w:sz w:val="24"/>
          <w:szCs w:val="24"/>
        </w:rPr>
        <w:t>Recent developments on environmental performance in Belarus</w:t>
      </w:r>
    </w:p>
    <w:p w:rsidR="00D94687" w:rsidRPr="00D94687" w:rsidRDefault="00D94687" w:rsidP="00D94687">
      <w:pPr>
        <w:spacing w:after="0" w:line="240" w:lineRule="auto"/>
        <w:jc w:val="both"/>
        <w:rPr>
          <w:rFonts w:ascii="Times New Roman" w:hAnsi="Times New Roman" w:cs="Times New Roman"/>
          <w:sz w:val="24"/>
          <w:szCs w:val="24"/>
        </w:rPr>
      </w:pPr>
    </w:p>
    <w:p w:rsidR="00594B93"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 xml:space="preserve">The Ministry of Natural Resources and Environmental Protection (MNREP) is the main agency in charge of environmental policy. This agency has worked with some stability during recent years, which improved the consistency in policy implementation, as well as contribute to the mainstreaming of environmental considerations into sectoral policies and legislation.  </w:t>
      </w:r>
    </w:p>
    <w:p w:rsidR="00594B93" w:rsidRDefault="00594B93"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 xml:space="preserve">In December 2014, MNREP requested that UNECE undertakes a third Environmental Performance Review (EPR) of Belarus, which was carried out in 2015. The report addressed 13 areas: the sustainable management and protection of water resources; waste management; biodiversity and protected areas; energy; forestry; tourism; the relationship between education and the environment; and health. </w:t>
      </w:r>
    </w:p>
    <w:p w:rsidR="00D94687" w:rsidRP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lastRenderedPageBreak/>
        <w:t>The EPR found that during recent years several policies were implemented in Belarus that sought to promote sustainable development, encompassing actions to reduce the impact of climate change, protect landscapes and biological diversity, improve energy efficiency and encourage the use of local and renewable sources of energy. The EPR also recognizes key areas for improvement, among which it identifies public participation in strategic planning and the development of legislation, the management of diffuse pollution, the introduction of economic incentives to facilitate the renewal of ageing transport fleet and a reduction in the use of asbestos in construction.</w:t>
      </w:r>
    </w:p>
    <w:p w:rsidR="00D94687" w:rsidRDefault="00D94687" w:rsidP="00D94687">
      <w:pPr>
        <w:spacing w:after="0" w:line="240" w:lineRule="auto"/>
        <w:jc w:val="both"/>
        <w:rPr>
          <w:rFonts w:ascii="Times New Roman" w:hAnsi="Times New Roman" w:cs="Times New Roman"/>
          <w:sz w:val="24"/>
          <w:szCs w:val="24"/>
        </w:rPr>
      </w:pPr>
    </w:p>
    <w:p w:rsidR="00D94687" w:rsidRPr="00D94687" w:rsidRDefault="00D94687" w:rsidP="00D94687">
      <w:pPr>
        <w:spacing w:after="0" w:line="240" w:lineRule="auto"/>
        <w:jc w:val="both"/>
        <w:rPr>
          <w:rFonts w:ascii="Times New Roman" w:hAnsi="Times New Roman" w:cs="Times New Roman"/>
          <w:i/>
          <w:sz w:val="24"/>
          <w:szCs w:val="24"/>
        </w:rPr>
      </w:pPr>
      <w:r w:rsidRPr="00D94687">
        <w:rPr>
          <w:rFonts w:ascii="Times New Roman" w:hAnsi="Times New Roman" w:cs="Times New Roman"/>
          <w:i/>
          <w:sz w:val="24"/>
          <w:szCs w:val="24"/>
        </w:rPr>
        <w:t>Economic instruments for the promotion of green economies</w:t>
      </w:r>
    </w:p>
    <w:p w:rsidR="00D94687" w:rsidRP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 xml:space="preserve">With regards to economic instruments, Belarus applies a range of measures aimed at increasing incentives for sustainable practices in industry and other sectors of the economy. Among “supply” side measures, these include environmental taxes on air pollution and waste management, compensation for damages, and specific charges for pollutants (such as motor fuels), among others. </w:t>
      </w:r>
    </w:p>
    <w:p w:rsidR="00594B93" w:rsidRPr="00D94687" w:rsidRDefault="00594B93"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Taxation is integrated with a system of annual emission limits, which are specified in corresponding environmental permits. An analysis of the implementation of environmental taxation shows that several reforms have taken place since 2011:</w:t>
      </w:r>
    </w:p>
    <w:p w:rsidR="00D94687" w:rsidRPr="00D94687" w:rsidRDefault="00D94687" w:rsidP="00D94687">
      <w:pPr>
        <w:spacing w:after="0" w:line="240" w:lineRule="auto"/>
        <w:jc w:val="both"/>
        <w:rPr>
          <w:rFonts w:ascii="Times New Roman" w:hAnsi="Times New Roman" w:cs="Times New Roman"/>
          <w:sz w:val="24"/>
          <w:szCs w:val="24"/>
        </w:rPr>
      </w:pPr>
    </w:p>
    <w:p w:rsidR="00D94687" w:rsidRPr="00D94687" w:rsidRDefault="00D94687" w:rsidP="00D94687">
      <w:pPr>
        <w:pStyle w:val="ad"/>
        <w:numPr>
          <w:ilvl w:val="0"/>
          <w:numId w:val="30"/>
        </w:num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 xml:space="preserve">As of the beginning of 2011, a system of payments of compensation for environmental damage in combination with administrative fines was set up, which replaced a special tax that applied to large polluters. </w:t>
      </w:r>
    </w:p>
    <w:p w:rsidR="00D94687" w:rsidRPr="00D94687" w:rsidRDefault="00D94687" w:rsidP="00D94687">
      <w:pPr>
        <w:pStyle w:val="ad"/>
        <w:numPr>
          <w:ilvl w:val="0"/>
          <w:numId w:val="30"/>
        </w:num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A number of environmental taxes were abolished in 2010–2011 – including for petroleum refineries, transportation of oil products, and the production and import of goods containing over 50 per cent of volatile organic compounds (VOCs), plastic and paper packaging, and emissions from motor vehicle–,   with the general intention to simplify the tax system for enterprises.</w:t>
      </w:r>
    </w:p>
    <w:p w:rsidR="00D94687" w:rsidRPr="00D94687" w:rsidRDefault="00D94687" w:rsidP="00D94687">
      <w:pPr>
        <w:pStyle w:val="ad"/>
        <w:numPr>
          <w:ilvl w:val="0"/>
          <w:numId w:val="30"/>
        </w:num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A large number of taxes were replaced by a single tax with a simplified calculation procedure for SMEs.</w:t>
      </w:r>
    </w:p>
    <w:p w:rsidR="00D94687" w:rsidRPr="00D94687" w:rsidRDefault="00D94687" w:rsidP="00D94687">
      <w:pPr>
        <w:pStyle w:val="ad"/>
        <w:numPr>
          <w:ilvl w:val="0"/>
          <w:numId w:val="30"/>
        </w:num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The abolition of the Republican and local nature protection funds in 2011.</w:t>
      </w:r>
    </w:p>
    <w:p w:rsidR="00D94687" w:rsidRPr="00D94687" w:rsidRDefault="00D94687" w:rsidP="00D94687">
      <w:pPr>
        <w:pStyle w:val="ad"/>
        <w:numPr>
          <w:ilvl w:val="0"/>
          <w:numId w:val="30"/>
        </w:num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The approval of legislation obliging producers and importers of harmful products to assume the responsibility for collecting, neutralizing and/or recycling them.</w:t>
      </w:r>
    </w:p>
    <w:p w:rsid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Compensation for environmental damage has been applied in cases where the existing annual limits to emissions of air pollutants from stationary sources, storage and disposal of production waste and discharge of wastewater exceed predetermined limits. In addition, financial incentives for investments in environmentally friendly technologies have also been implemented.</w:t>
      </w:r>
    </w:p>
    <w:p w:rsidR="00D94687" w:rsidRP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With regards to government expenditures on environmental protection, these remained marginal with decimal variations around 0.5 per cent of total government spending in recent years, in spite of numerous policy initiatives that were appr</w:t>
      </w:r>
      <w:r>
        <w:rPr>
          <w:rFonts w:ascii="Times New Roman" w:hAnsi="Times New Roman" w:cs="Times New Roman"/>
          <w:sz w:val="24"/>
          <w:szCs w:val="24"/>
        </w:rPr>
        <w:t>oved to foster green economies.</w:t>
      </w:r>
    </w:p>
    <w:p w:rsidR="00D94687" w:rsidRP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On the demand side, raising environmental awareness and promoting behavioural change within the population is also a priority for both adaptation and mitigation of climate change. Several agencies (e.g. UNDP, UNECE, UNICEF, UNIDO and UNESCO) have been involved in environmental education and awareness-raising campaigns on the sustainable management of natural resources.</w:t>
      </w:r>
    </w:p>
    <w:p w:rsidR="00D94687" w:rsidRPr="00D94687" w:rsidRDefault="00D94687" w:rsidP="00D94687">
      <w:pPr>
        <w:spacing w:after="0" w:line="240" w:lineRule="auto"/>
        <w:jc w:val="both"/>
        <w:rPr>
          <w:rFonts w:ascii="Times New Roman" w:hAnsi="Times New Roman" w:cs="Times New Roman"/>
          <w:sz w:val="24"/>
          <w:szCs w:val="24"/>
        </w:rPr>
      </w:pPr>
    </w:p>
    <w:p w:rsidR="00D94687" w:rsidRDefault="00D94687" w:rsidP="00D94687">
      <w:pPr>
        <w:spacing w:after="0" w:line="240" w:lineRule="auto"/>
        <w:jc w:val="both"/>
        <w:rPr>
          <w:rFonts w:ascii="Times New Roman" w:hAnsi="Times New Roman" w:cs="Times New Roman"/>
          <w:sz w:val="24"/>
          <w:szCs w:val="24"/>
        </w:rPr>
      </w:pPr>
      <w:r w:rsidRPr="00D94687">
        <w:rPr>
          <w:rFonts w:ascii="Times New Roman" w:hAnsi="Times New Roman" w:cs="Times New Roman"/>
          <w:sz w:val="24"/>
          <w:szCs w:val="24"/>
        </w:rPr>
        <w:t>Priorities on the need for mainstreaming green economy principles in education have been formulated in the National Action Plan for the Implementation of the UN Economic Commission for Europe (UNECE) Strategy on Education for Sustainable Development in the Republic of Belarus for 2010–2014 as well as on sectoral education development programs.  Priority has been given to the qualitative transformation of the education system covering all types of schools: pre-schools, secondary schools, specialized secondary schools and universities</w:t>
      </w:r>
      <w:r>
        <w:rPr>
          <w:rFonts w:ascii="Times New Roman" w:hAnsi="Times New Roman" w:cs="Times New Roman"/>
          <w:sz w:val="24"/>
          <w:szCs w:val="24"/>
        </w:rPr>
        <w:t>.</w:t>
      </w:r>
    </w:p>
    <w:p w:rsidR="00FB20E2" w:rsidRDefault="00FB20E2" w:rsidP="00D94687">
      <w:pPr>
        <w:spacing w:after="0" w:line="240" w:lineRule="auto"/>
        <w:jc w:val="both"/>
        <w:rPr>
          <w:rFonts w:ascii="Times New Roman" w:hAnsi="Times New Roman" w:cs="Times New Roman"/>
          <w:sz w:val="24"/>
          <w:szCs w:val="24"/>
        </w:rPr>
      </w:pPr>
    </w:p>
    <w:p w:rsidR="00FB20E2" w:rsidRPr="00FB20E2" w:rsidRDefault="00FB20E2" w:rsidP="00FB20E2">
      <w:pPr>
        <w:spacing w:after="0" w:line="240" w:lineRule="auto"/>
        <w:jc w:val="both"/>
        <w:rPr>
          <w:rFonts w:ascii="Times New Roman" w:hAnsi="Times New Roman" w:cs="Times New Roman"/>
          <w:i/>
          <w:sz w:val="24"/>
          <w:szCs w:val="24"/>
        </w:rPr>
      </w:pPr>
      <w:r w:rsidRPr="00FB20E2">
        <w:rPr>
          <w:rFonts w:ascii="Times New Roman" w:hAnsi="Times New Roman" w:cs="Times New Roman"/>
          <w:i/>
          <w:sz w:val="24"/>
          <w:szCs w:val="24"/>
        </w:rPr>
        <w:t xml:space="preserve">Policy framework for environmentally significant innovations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The Government has a vertical structure to implement environmental policy through MNREP. According to information provided by the SCST, MNREP has been the implementing agency of significant innovation projects related to improving environmental protection, which were included in the State Program of Innovation Development for the period 2011-2015.</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During that period, seven projects involved innovation activities on environmentally significant areas.  The total invested funds for the implementation of these projects amounted to 1976 billion roubles, including from both the national budget and other sources. Among the total number of projects, five were in the field of Geology and two on the field of Hydrometeorology. </w:t>
      </w:r>
    </w:p>
    <w:p w:rsidR="00594B93" w:rsidRPr="00FB20E2" w:rsidRDefault="00594B93"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In addition, funds allocated to the various R&amp;D activities were established in the 2011 Resolution of the Council of Ministers No. 116, approving the list of scientific and technical programmes for 2011–2015. Projects financed covered R&amp;D of innovative technologies for the efficient use of natural resources; sustainable forest management; new technologies for water supply and wastewater treatment and processing of secondary municipal waste, and improvements in energy efficiency (ECE 2016).</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MNREP has also developed a programme of its own that involves some R&amp;D activities by research centres and institutes. Namely, the “State Program on Environmental Protection and Sustainable Use of Natural Resources for 2016 – 2020”, which includes 5 sub-programmes . In addition, there are ten other sector strategies related to sustainable development that may involve the promotion of innovations, including on the protection of water resources and pollution.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With regards to the promotion of green economy, the MNREP works in full interaction with the Ministry of Economy. The authorities have identified priority areas where they will focus most resources, some of which involve the funding of innovation related initiatives.  Whereas not all projects under the auspices of MNREP are “innovative” as defined in this report (see Chapter 3), the authorities are eager to encourage the development of new technologies that are dynamic and could be instrumental in solving urgent environmental problems faced by the country.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Regarding international cooperation, MNREP enjoys the support of EU and some initiatives have been held to bring expert advice on eco-innovation . The goal has been to set-up a plan for the development of the green economy through the use of incentives for investors. However, whereas MNREP has the research capacity to assist in the development of innovative products, its knowledge of aspects of the commercial viability of green products is </w:t>
      </w:r>
      <w:r w:rsidRPr="00FB20E2">
        <w:rPr>
          <w:rFonts w:ascii="Times New Roman" w:hAnsi="Times New Roman" w:cs="Times New Roman"/>
          <w:sz w:val="24"/>
          <w:szCs w:val="24"/>
        </w:rPr>
        <w:lastRenderedPageBreak/>
        <w:t xml:space="preserve">limited.  Because energy efficiency is a multi-faceted sphere, there is a need for coordinated policy action involving delegates from other ministries not linked directly to environment (e.g. social protection, trade). Such an approach could result in more informed policy making, also with regard to recent international commitments.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With regards to the current State Programme on Innovation Development 2016-2020, the environmental authorities have deemed that about 20 of the approved projects are environmentally significant and additional projects could be initiated in the future. MNREP is considered to be a</w:t>
      </w:r>
      <w:r>
        <w:rPr>
          <w:rFonts w:ascii="Times New Roman" w:hAnsi="Times New Roman" w:cs="Times New Roman"/>
          <w:sz w:val="24"/>
          <w:szCs w:val="24"/>
        </w:rPr>
        <w:t xml:space="preserve"> </w:t>
      </w:r>
      <w:r w:rsidRPr="00FB20E2">
        <w:rPr>
          <w:rFonts w:ascii="Times New Roman" w:hAnsi="Times New Roman" w:cs="Times New Roman"/>
          <w:sz w:val="24"/>
          <w:szCs w:val="24"/>
        </w:rPr>
        <w:t>”scientific intensive” Ministry in Belarus and the Ministry has a few units that cooperate with the environmental authorities and the NAS in research activities. Notably, these include the RUE “Scientific Production Centre for Geology”, the RUE “Central Research Institute for Complex Use of Water Resources” and the RUE Belarusian Research Centre “Ecology”.  In late 2014, the MNREP adopted a “Strategy for the development of scientific, technical and innovative activity on environmental protection and rational use of natural resources in 2014–2015 and for the period until 2025” (2014 Decision of the Ministry’s Board No. 112P), with priority areas in scientific activities includ</w:t>
      </w:r>
      <w:r w:rsidR="00594B93">
        <w:rPr>
          <w:rFonts w:ascii="Times New Roman" w:hAnsi="Times New Roman" w:cs="Times New Roman"/>
          <w:sz w:val="24"/>
          <w:szCs w:val="24"/>
        </w:rPr>
        <w:t>ing</w:t>
      </w:r>
      <w:r w:rsidRPr="00FB20E2">
        <w:rPr>
          <w:rFonts w:ascii="Times New Roman" w:hAnsi="Times New Roman" w:cs="Times New Roman"/>
          <w:sz w:val="24"/>
          <w:szCs w:val="24"/>
        </w:rPr>
        <w:t xml:space="preserve"> resources and energy saving, public health and environmental protection (See ECE 2016).  It is thanks to these interactions that much of the best practice from European experiences became translated into legislation in Belarus (e.g. the introduction of a new water code, with regulations on basin management of water resources).</w:t>
      </w:r>
    </w:p>
    <w:p w:rsidR="00FB20E2" w:rsidRPr="002A5060" w:rsidRDefault="00FB20E2" w:rsidP="00FB20E2">
      <w:pPr>
        <w:spacing w:after="0" w:line="240" w:lineRule="auto"/>
        <w:jc w:val="both"/>
        <w:rPr>
          <w:rFonts w:ascii="Times New Roman" w:hAnsi="Times New Roman" w:cs="Times New Roman"/>
          <w:i/>
          <w:sz w:val="24"/>
          <w:szCs w:val="24"/>
        </w:rPr>
      </w:pPr>
    </w:p>
    <w:p w:rsidR="00FB20E2" w:rsidRPr="002A5060" w:rsidRDefault="00FB20E2" w:rsidP="00FB20E2">
      <w:pPr>
        <w:spacing w:after="0" w:line="240" w:lineRule="auto"/>
        <w:jc w:val="both"/>
        <w:rPr>
          <w:rFonts w:ascii="Times New Roman" w:hAnsi="Times New Roman" w:cs="Times New Roman"/>
          <w:i/>
          <w:sz w:val="24"/>
          <w:szCs w:val="24"/>
        </w:rPr>
      </w:pPr>
      <w:r w:rsidRPr="002A5060">
        <w:rPr>
          <w:rFonts w:ascii="Times New Roman" w:hAnsi="Times New Roman" w:cs="Times New Roman"/>
          <w:i/>
          <w:sz w:val="24"/>
          <w:szCs w:val="24"/>
        </w:rPr>
        <w:t>The Government’s agenda for the improvement of energy efficiency in Belarus</w:t>
      </w:r>
    </w:p>
    <w:p w:rsidR="002A5060" w:rsidRDefault="002A5060" w:rsidP="00FB20E2">
      <w:pPr>
        <w:spacing w:after="0" w:line="240" w:lineRule="auto"/>
        <w:jc w:val="both"/>
        <w:rPr>
          <w:rFonts w:ascii="Times New Roman" w:hAnsi="Times New Roman" w:cs="Times New Roman"/>
          <w:sz w:val="24"/>
          <w:szCs w:val="24"/>
        </w:rPr>
      </w:pPr>
    </w:p>
    <w:p w:rsidR="00FB20E2" w:rsidRPr="002A5060" w:rsidRDefault="00FB20E2" w:rsidP="00FB20E2">
      <w:pPr>
        <w:spacing w:after="0" w:line="240" w:lineRule="auto"/>
        <w:jc w:val="both"/>
        <w:rPr>
          <w:rFonts w:ascii="Times New Roman" w:hAnsi="Times New Roman" w:cs="Times New Roman"/>
          <w:i/>
          <w:sz w:val="24"/>
          <w:szCs w:val="24"/>
        </w:rPr>
      </w:pPr>
      <w:r w:rsidRPr="002A5060">
        <w:rPr>
          <w:rFonts w:ascii="Times New Roman" w:hAnsi="Times New Roman" w:cs="Times New Roman"/>
          <w:i/>
          <w:sz w:val="24"/>
          <w:szCs w:val="24"/>
        </w:rPr>
        <w:t xml:space="preserve">Recent trends and strategies </w:t>
      </w:r>
    </w:p>
    <w:p w:rsidR="002A5060" w:rsidRDefault="002A5060" w:rsidP="00FB20E2">
      <w:pPr>
        <w:spacing w:after="0" w:line="240" w:lineRule="auto"/>
        <w:jc w:val="both"/>
        <w:rPr>
          <w:rFonts w:ascii="Times New Roman" w:hAnsi="Times New Roman" w:cs="Times New Roman"/>
          <w:sz w:val="24"/>
          <w:szCs w:val="24"/>
        </w:rPr>
      </w:pPr>
    </w:p>
    <w:p w:rsidR="00FB20E2" w:rsidRP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The Belarusian economy relies heavily on mineral resources (including crude oil, shale oil, natural gas and peats), which account for over 90 per cent of the country’s production. In addition, Belarus counts with renewable sources in the form of wood, biomass, hydro-energy, wind and waste wood. Significantly, the energy balance is negative and the country needs to import both fuels and energy from the Russian Federation. At present, Belarus also shows lower rates of energy intensity than other countries with economies in transition, particularly among CIS, but the level is still higher than in the average European OECD economies. </w:t>
      </w:r>
    </w:p>
    <w:p w:rsidR="00754435" w:rsidRDefault="00754435"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The Department of Energy Efficiency of the State Committee for Standardization is the main Government agency implementing policies to promote energy efficiency . In 2009, Belarus became a member of the International Renewable Energy Agency; and since that time it already adopted a Law on Renewable Energy (2010).</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In 2010, a National Energy Saving Programme for 2011–2015 was approved by the 2010 Resolution of the Council of Ministers No. 1882 with the goal to reduce the energy intensity of GDP in 2015 by half taking into account environmental requirements, social standards and provisions of energy security indicators.  The adoption of another  programme  followed with a focus on renewable sources of energy; namely, the National Programme for the Development of Local and Renewable Energy Sources for 2011-2015 (PDLRES), which has built on a series of other regulations aiming at improving the energy efficiency of the national economy.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Although PDRES has been deemed overall successful by the authorities, it has not had a transformative impact yet. The share of renewable sources of energy still amounts to only a marginal amount of total supply of energy resources in Belarus, fluctuating between 4 and 5 </w:t>
      </w:r>
      <w:r w:rsidRPr="00FB20E2">
        <w:rPr>
          <w:rFonts w:ascii="Times New Roman" w:hAnsi="Times New Roman" w:cs="Times New Roman"/>
          <w:sz w:val="24"/>
          <w:szCs w:val="24"/>
        </w:rPr>
        <w:lastRenderedPageBreak/>
        <w:t>per cent in recent years  (See table X.X.). Also, most standards have not been embraced by private firms.  Although the legal framework for private firm certification and eco-labelling is broadly based on modern international standards (i.e. ISO 14024 and EU requirements) the practical implementation of product eco-labelling has lagged and no independent body for environmental certification of products is in place.</w:t>
      </w:r>
    </w:p>
    <w:p w:rsidR="00FB20E2" w:rsidRPr="00FB20E2" w:rsidRDefault="00FB20E2" w:rsidP="00FB20E2">
      <w:pPr>
        <w:spacing w:after="0" w:line="240" w:lineRule="auto"/>
        <w:jc w:val="both"/>
        <w:rPr>
          <w:rFonts w:ascii="Times New Roman" w:hAnsi="Times New Roman" w:cs="Times New Roman"/>
          <w:sz w:val="24"/>
          <w:szCs w:val="24"/>
        </w:rPr>
      </w:pPr>
    </w:p>
    <w:p w:rsidR="00754435"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Furthermore, the utility sector is dominated by state-owned companies, with Beltpogas and Belenergo being the key dominant players in the energy markets.</w:t>
      </w:r>
    </w:p>
    <w:p w:rsidR="00754435" w:rsidRDefault="00754435" w:rsidP="00FB20E2">
      <w:pPr>
        <w:spacing w:after="0" w:line="240" w:lineRule="auto"/>
        <w:jc w:val="both"/>
        <w:rPr>
          <w:rFonts w:ascii="Times New Roman" w:hAnsi="Times New Roman" w:cs="Times New Roman"/>
          <w:sz w:val="24"/>
          <w:szCs w:val="24"/>
        </w:rPr>
      </w:pPr>
    </w:p>
    <w:p w:rsidR="00FB20E2" w:rsidRP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The structure of "Belenergo" includes six republican unitary enterprises, including electric the power industry, construction complex, infrastructure, repair and commissioning enterprises, research, design and survey, research and design institute.</w:t>
      </w:r>
    </w:p>
    <w:p w:rsidR="00754435" w:rsidRDefault="00754435"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Although the domestic private sector involvement in the energy sector remains limited, some national enterprises have become involved in productive activities mainly by acting as intermediaries. In particular, SMEs are involved in such areas as consulting and representing big energy brands, but also on the production of local fuels, with a focus on wood and agricultural waste fuels (See Energy 21i).</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However, significant constraints exist to the expansion of energy markets. Tariffs for public utilities are set by the Government based on proposals of the utility providers to the Ministry of Energy and the Ministry of Economy.  Notably, residential tariffs for utility services corresponded to only some 30 per cent of actual costs of production. Even-though tariffs have increased since early 2013, the gap between the cost of production and tariffs paid is significant. Expenditures on housing and utility services accounted for only 4.4 per cent of household expenditures in Belarus in 2014, which is low compared to amounts above 10 per cent in neighboring countries such as Lithuania, the Russian Federation and Ukraine. Utility companies have been compensating for the operating losses associated with low residential tariffs by obliging non-residential customers to pay tariffs significantly above the cost recovery level. When cross-subsidies are not sufficient, local governments have provided direct subsidies to their municipal utility companies (e.g. in the district heating sector) (UNECE 2016, p. 82). Most public utilities also suffer from operational losses,  which is linked to the unsatisfactory condition of equipment. In the context of financial constraints, this situation is not likely to improve in the near future.</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In spite of these constraints, the authorities of Belarus are aware of the potential gains of a smooth transition towards a greener economy, and have signalled that improvements in energy efficiency are priority for science and technology development. A study by UNDP estimated that the energy savings potential in the State sector in Belarus for the period 2011-2015 could amount to between 5 to 6 per cent of gross energy consumption, with the highest potential in the sectors of industrial processing, power, housing, agriculture and construction. At the time of this Review, the Government had recently adopted the Concept on Energy Security of the Republic of Belarus in order to improve environmental performance in the long run. The third edition of the document, which built on previous versions of 2007 and 2014, was approved by the Council of Ministers of the Republic of Belarus on 23 December 2015 (Resolution 1084). The document addresses challenges linked to global trends in the fuel and energy markets and proposes actions to foster energy security in Belarus. </w:t>
      </w:r>
    </w:p>
    <w:p w:rsid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Another recent initiative that will have an impact on energy policy was Belarus’ decision to introduce nuclear power as a national development priority. The authorities have already </w:t>
      </w:r>
      <w:r w:rsidRPr="00FB20E2">
        <w:rPr>
          <w:rFonts w:ascii="Times New Roman" w:hAnsi="Times New Roman" w:cs="Times New Roman"/>
          <w:sz w:val="24"/>
          <w:szCs w:val="24"/>
        </w:rPr>
        <w:lastRenderedPageBreak/>
        <w:t>commissioned the construction of two nuclear power units (2 х 1170) of a power capacity of 2340 MWe, which will be completed by 2021 (See Presidential Decree No. 499 of 2013).  Regardless of its potential to increase energy efficiency, the project has been deemed controversial with regards to its sustainable development outcomes due to related risks with the use of nuclear energy. Its successful implementation will also require strengthening the country’s institutional capacities for efficient regulatory oversight and for its safety in line with international standards of IAEA.</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To sum-up, the fact that Belarus is a net importer of fuel energy has negatively affected on the country’s competitiveness. This situation has made the transition to green economies more urgent. Fortunately, Belarus has significant potential for developing renewable sources of energy. Looking forward, the development of energy efficient technologies and production of alternative fuels will be an unavoidable feature of a successful strategy for sustainable development.  Although it is not envisaged that Belarus will have a specific programme on “green” innovations, there are several projects that imply incremental improvements in the use of existing technologies. </w:t>
      </w:r>
    </w:p>
    <w:p w:rsidR="000A5C0F" w:rsidRPr="00FB20E2" w:rsidRDefault="000A5C0F"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 xml:space="preserve">With regards to encouraging private sector involvement, there is a political will to encourage the work of SMEs in the implementation of energy efficient initiatives, but the design of comprehensive policies is still at an early stage. International investors are ready to invest in such type of developments. At the same time, the authorities are also aware of the need to improve the level of entrepreneurship in the country to commercialize green products, since scientific knowledge will not be enough to guarantee their success. Also, existing limits on access to finance have prevented a more rapid development. Because of the risks involved in commercializing green technologies, the Government is highly dependent on external financing, especially by international financial institutions (IFI)s to complement Government funds. </w:t>
      </w:r>
    </w:p>
    <w:p w:rsidR="00FB20E2" w:rsidRPr="00FB20E2" w:rsidRDefault="00FB20E2" w:rsidP="00FB20E2">
      <w:pPr>
        <w:spacing w:after="0" w:line="240" w:lineRule="auto"/>
        <w:jc w:val="both"/>
        <w:rPr>
          <w:rFonts w:ascii="Times New Roman" w:hAnsi="Times New Roman" w:cs="Times New Roman"/>
          <w:sz w:val="24"/>
          <w:szCs w:val="24"/>
        </w:rPr>
      </w:pPr>
    </w:p>
    <w:p w:rsidR="00FB20E2" w:rsidRDefault="00FB20E2" w:rsidP="00FB20E2">
      <w:pPr>
        <w:spacing w:after="0" w:line="240" w:lineRule="auto"/>
        <w:jc w:val="both"/>
        <w:rPr>
          <w:rFonts w:ascii="Times New Roman" w:hAnsi="Times New Roman" w:cs="Times New Roman"/>
          <w:sz w:val="24"/>
          <w:szCs w:val="24"/>
        </w:rPr>
      </w:pPr>
      <w:r w:rsidRPr="00FB20E2">
        <w:rPr>
          <w:rFonts w:ascii="Times New Roman" w:hAnsi="Times New Roman" w:cs="Times New Roman"/>
          <w:sz w:val="24"/>
          <w:szCs w:val="24"/>
        </w:rPr>
        <w:t>Finally, in spite of government efforts, some legal and institutional constraints have prevented a more rapid expansion of green technologies. Paramount among these is the fact that “Belenergo” remains a monopolistic firm with a dominant position in most components of the national energy sector.  Although recent reforms have allowed for the development of independent electric power producers, the country lacks an independent regulatory authority that could ensure transparency and fairness in pricing decisions.  Overall, Belarus is still characterised by an over-regulated electricity market with significant price distortions that are the result of heavily subsidized tariffs for electricity and heat; and a lack of awareness in the general population about green products that could increase demand and create more economies of scales for innovative products.</w:t>
      </w:r>
    </w:p>
    <w:p w:rsidR="000A5C0F" w:rsidRDefault="000A5C0F" w:rsidP="00FB20E2">
      <w:pPr>
        <w:spacing w:after="0" w:line="240" w:lineRule="auto"/>
        <w:jc w:val="both"/>
        <w:rPr>
          <w:rFonts w:ascii="Times New Roman" w:hAnsi="Times New Roman" w:cs="Times New Roman"/>
          <w:sz w:val="24"/>
          <w:szCs w:val="24"/>
        </w:rPr>
      </w:pPr>
    </w:p>
    <w:p w:rsidR="000A5C0F" w:rsidRPr="000A5C0F" w:rsidRDefault="000A5C0F" w:rsidP="000A5C0F">
      <w:pPr>
        <w:spacing w:after="0" w:line="240" w:lineRule="auto"/>
        <w:jc w:val="both"/>
        <w:rPr>
          <w:rFonts w:ascii="Times New Roman" w:hAnsi="Times New Roman" w:cs="Times New Roman"/>
          <w:i/>
          <w:sz w:val="24"/>
          <w:szCs w:val="24"/>
        </w:rPr>
      </w:pPr>
      <w:r w:rsidRPr="000A5C0F">
        <w:rPr>
          <w:rFonts w:ascii="Times New Roman" w:hAnsi="Times New Roman" w:cs="Times New Roman"/>
          <w:i/>
          <w:sz w:val="24"/>
          <w:szCs w:val="24"/>
        </w:rPr>
        <w:t>The role of innovation in the advancement of green economies in Belarus</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 xml:space="preserve">R&amp;D programmes have been developed with funding from the national budget during recent years to support innovation in energy efficiency, including new technologies for energy conservation. Among the key programmes, the State research programmes on “Energy Systems, Processes and Technologies for 2016–2020” under the auspices of the National Academy of Sciences and the Ministry of Education is a basic research project that will be undertaken by the Heat and Mass Transfer Institute of the Belarusian National Technical University. The SPID 2016–2020 also contains modernization and innovation projects to be undertaken by companies and research organizations. The SPID has as its goals to develop a </w:t>
      </w:r>
      <w:r w:rsidRPr="000A5C0F">
        <w:rPr>
          <w:rFonts w:ascii="Times New Roman" w:hAnsi="Times New Roman" w:cs="Times New Roman"/>
          <w:sz w:val="24"/>
          <w:szCs w:val="24"/>
        </w:rPr>
        <w:lastRenderedPageBreak/>
        <w:t xml:space="preserve">national fuel and energy sector and it addresses the needs of industry and households with regards to access to energy. </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 xml:space="preserve">The SPID also includes priorities for the formation and accelerated development of high-tech sectors of the national economy based on 5th and 6th “technological waves”, including in the following activities; “cloud” technologies; development of space-based remote sensing of the Earth; development of component-based microelectronics base for all industrial activities and transition to production of new components for fabless-Foundry model (Fabless Foundry Model); creation and development of production based on deep processing technology of local renewable raw materials (Woodworking machinery). It also aims at reducing losses of raw material resources for the stages of production and processing; and to implement projects aimed at the replacement of non-renewable resources with renewable, taking into account the dynamics of the depletion of their reserves (See SPIDD, Chapter 8). </w:t>
      </w:r>
    </w:p>
    <w:p w:rsidR="000A5C0F" w:rsidRPr="000A5C0F" w:rsidRDefault="000A5C0F" w:rsidP="000A5C0F">
      <w:pPr>
        <w:spacing w:after="0" w:line="240" w:lineRule="auto"/>
        <w:jc w:val="both"/>
        <w:rPr>
          <w:rFonts w:ascii="Times New Roman" w:hAnsi="Times New Roman" w:cs="Times New Roman"/>
          <w:sz w:val="24"/>
          <w:szCs w:val="24"/>
        </w:rPr>
      </w:pPr>
    </w:p>
    <w:p w:rsidR="000A5C0F" w:rsidRP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 xml:space="preserve">However, the actual share of public funding for research activities in the field of energy among total spending remains very limited, with an average of </w:t>
      </w:r>
      <w:r>
        <w:rPr>
          <w:rFonts w:ascii="Times New Roman" w:hAnsi="Times New Roman" w:cs="Times New Roman"/>
          <w:sz w:val="24"/>
          <w:szCs w:val="24"/>
        </w:rPr>
        <w:t>only 5 per cent in recent years</w:t>
      </w:r>
      <w:r w:rsidRPr="000A5C0F">
        <w:rPr>
          <w:rFonts w:ascii="Times New Roman" w:hAnsi="Times New Roman" w:cs="Times New Roman"/>
          <w:sz w:val="24"/>
          <w:szCs w:val="24"/>
        </w:rPr>
        <w:t xml:space="preserve">.  As it is the norm in Belarus, research programmes have been developed in such a way that they cover the whole innovation cycle from ideas to their embodiment in a particular product or service. However, as it was discussed in Chapter 2, a risk-averse approach prevents the development of projects that lack commercialization perspectives. The strict compliance requirements with State funded projects contributed to the shrinking of completion frameworks and goals, which reduces the attractiveness for long term private investments.  </w:t>
      </w:r>
    </w:p>
    <w:p w:rsidR="00754435" w:rsidRDefault="00754435"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In addition to the programmes referred above, innovative funding for innovation activities is available from innovation funds. Since 2001, Belinfund has supported several projects in the field of energy saving, energy efficiency and renewable fuels, including the following: products on air conditioning, ventilation and heating installations with heat recovery on heat pipes and fans for a firm in Brest; a technology for biodiesel production from rapeseed oil in Grodno and biofuel installations in a plant in Mogilev; and developing technologies for the production of composite solid biofuel (pellets) based on rape straw and other garden wastes (See Eenrgi 21). Sector and regional funds are also involved in financing innovation activities for sustainable development.</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Other forms of support for innovation for sustainable development include technology parks, tax incentives, business support centers and business incubators and international cooperation. Also, with the help of UNDP and the European Union, some successful initiatives have been undertaken at the local level that involve innovation through the use of green technologies and social platforms (See section 5.2.3 below). Still, available finance from private sources remains limited. The challenges discussed in this review in relation to venture capital and business angels are even more challenging with regards to the promotion of energy efficient technologies due to the lack of sufficient market demand for these products and the institutional challenges related to the energy sector referred in the previous section.</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sidRPr="000A5C0F">
        <w:rPr>
          <w:rFonts w:ascii="Times New Roman" w:hAnsi="Times New Roman" w:cs="Times New Roman"/>
          <w:sz w:val="24"/>
          <w:szCs w:val="24"/>
        </w:rPr>
        <w:t xml:space="preserve">Finally, linkages between research institutes and universities are not yet well developed, especially in the international arena. Foreign partnerships are not common and local scientists are not often participating in international R&amp;D programmes in the field of energy efficiency, even if some results have been remarkable that show potential for future development.  </w:t>
      </w:r>
    </w:p>
    <w:p w:rsidR="002852F5" w:rsidRDefault="002852F5" w:rsidP="002852F5">
      <w:pPr>
        <w:pStyle w:val="afb"/>
        <w:spacing w:before="0"/>
        <w:rPr>
          <w:sz w:val="24"/>
          <w:szCs w:val="24"/>
        </w:rPr>
      </w:pPr>
      <w:bookmarkStart w:id="22" w:name="_Toc455497892"/>
      <w:bookmarkStart w:id="23" w:name="_Toc455499251"/>
    </w:p>
    <w:p w:rsidR="0068566D" w:rsidRPr="00FC4864" w:rsidRDefault="0068566D" w:rsidP="002852F5">
      <w:pPr>
        <w:pStyle w:val="afb"/>
        <w:spacing w:before="0"/>
        <w:rPr>
          <w:rFonts w:asciiTheme="minorHAnsi" w:hAnsiTheme="minorHAnsi" w:cstheme="minorHAnsi"/>
          <w:color w:val="auto"/>
          <w:sz w:val="24"/>
          <w:szCs w:val="24"/>
        </w:rPr>
      </w:pPr>
      <w:r w:rsidRPr="00FC4864">
        <w:rPr>
          <w:rFonts w:asciiTheme="minorHAnsi" w:hAnsiTheme="minorHAnsi" w:cstheme="minorHAnsi"/>
          <w:color w:val="auto"/>
          <w:sz w:val="24"/>
          <w:szCs w:val="24"/>
        </w:rPr>
        <w:t>Recommendations:</w:t>
      </w:r>
      <w:bookmarkEnd w:id="22"/>
      <w:bookmarkEnd w:id="23"/>
    </w:p>
    <w:p w:rsidR="0068566D" w:rsidRPr="0068566D"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2.1</w:t>
      </w:r>
      <w:r w:rsidR="009C064D" w:rsidRPr="00754435">
        <w:rPr>
          <w:rFonts w:ascii="Times New Roman" w:hAnsi="Times New Roman" w:cs="Times New Roman"/>
          <w:sz w:val="24"/>
          <w:szCs w:val="24"/>
        </w:rPr>
        <w:t xml:space="preserve"> </w:t>
      </w:r>
      <w:r w:rsidRPr="0068566D">
        <w:rPr>
          <w:rFonts w:ascii="Times New Roman" w:hAnsi="Times New Roman" w:cs="Times New Roman"/>
          <w:sz w:val="24"/>
          <w:szCs w:val="24"/>
        </w:rPr>
        <w:t>Ensure conceptual consistency in the typology of innovation policy targets and align these targets with matching policy instruments.</w:t>
      </w:r>
      <w:r w:rsidR="008773CE">
        <w:rPr>
          <w:rFonts w:ascii="Times New Roman" w:hAnsi="Times New Roman" w:cs="Times New Roman"/>
          <w:sz w:val="24"/>
          <w:szCs w:val="24"/>
        </w:rPr>
        <w:t xml:space="preserve"> </w:t>
      </w:r>
      <w:r w:rsidR="008773CE" w:rsidRPr="008773CE">
        <w:rPr>
          <w:rFonts w:ascii="Times New Roman" w:hAnsi="Times New Roman" w:cs="Times New Roman"/>
          <w:sz w:val="24"/>
          <w:szCs w:val="24"/>
        </w:rPr>
        <w:t>The SCST and other relevant institutions should undertake the following tasks</w:t>
      </w:r>
      <w:r w:rsidR="00A971CD">
        <w:rPr>
          <w:rFonts w:ascii="Times New Roman" w:hAnsi="Times New Roman" w:cs="Times New Roman"/>
          <w:sz w:val="24"/>
          <w:szCs w:val="24"/>
        </w:rPr>
        <w:t>:</w:t>
      </w:r>
    </w:p>
    <w:p w:rsidR="00A971CD" w:rsidRPr="0068566D" w:rsidRDefault="00A971CD" w:rsidP="0068566D">
      <w:pPr>
        <w:spacing w:after="0" w:line="240" w:lineRule="auto"/>
        <w:jc w:val="both"/>
        <w:rPr>
          <w:rFonts w:ascii="Times New Roman" w:hAnsi="Times New Roman" w:cs="Times New Roman"/>
          <w:sz w:val="24"/>
          <w:szCs w:val="24"/>
        </w:rPr>
      </w:pPr>
    </w:p>
    <w:p w:rsidR="0068566D" w:rsidRPr="0068566D" w:rsidRDefault="0068566D" w:rsidP="008773CE">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Introduce a strict definition of “innovation projects” for the purposes of the State Programme for Innovative Development (SPID) aligned with the provisions of the Law on state innovation policy and innovation activity (LSIPIA) of 2012. Include in SPID only projects matching this definition;</w:t>
      </w:r>
    </w:p>
    <w:p w:rsidR="0068566D" w:rsidRPr="0068566D" w:rsidRDefault="008773CE"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cooperation with the NAS, c</w:t>
      </w:r>
      <w:r w:rsidR="0068566D" w:rsidRPr="0068566D">
        <w:rPr>
          <w:rFonts w:ascii="Times New Roman" w:hAnsi="Times New Roman" w:cs="Times New Roman"/>
          <w:sz w:val="24"/>
          <w:szCs w:val="24"/>
        </w:rPr>
        <w:t>onsider identifying under the state science and technology programmes a separate category of high-risk “innovation projects” aligned with the provisions of LSIPIA and which are funded by a different category of  specific instruments tolerating risk;</w:t>
      </w:r>
    </w:p>
    <w:p w:rsidR="0068566D" w:rsidRPr="0068566D" w:rsidRDefault="008773CE"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cooperation with the NAS and the Ministry of Economy, d</w:t>
      </w:r>
      <w:r w:rsidR="0068566D" w:rsidRPr="0068566D">
        <w:rPr>
          <w:rFonts w:ascii="Times New Roman" w:hAnsi="Times New Roman" w:cs="Times New Roman"/>
          <w:sz w:val="24"/>
          <w:szCs w:val="24"/>
        </w:rPr>
        <w:t>evelop practical guidelines for the assessment and sharing of risk pertaining to the implementation of innovation projects in accordance with the provisions of LSIPIA;</w:t>
      </w:r>
      <w:r>
        <w:rPr>
          <w:rFonts w:ascii="Times New Roman" w:hAnsi="Times New Roman" w:cs="Times New Roman"/>
          <w:sz w:val="24"/>
          <w:szCs w:val="24"/>
        </w:rPr>
        <w:t xml:space="preserve"> these should cover each of the following aspects:</w:t>
      </w:r>
    </w:p>
    <w:p w:rsidR="0068566D" w:rsidRPr="0068566D" w:rsidRDefault="0068566D" w:rsidP="00A971CD">
      <w:pPr>
        <w:pStyle w:val="ad"/>
        <w:numPr>
          <w:ilvl w:val="0"/>
          <w:numId w:val="32"/>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Introduce in the instruments for funding risky innovation projects mechanisms for incorporating some degrees of risk tolerance;</w:t>
      </w:r>
    </w:p>
    <w:p w:rsidR="0068566D" w:rsidRPr="0068566D" w:rsidRDefault="0068566D" w:rsidP="00A971CD">
      <w:pPr>
        <w:pStyle w:val="ad"/>
        <w:numPr>
          <w:ilvl w:val="0"/>
          <w:numId w:val="32"/>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High-risk innovation projects should be organised on the basis of open competitive calls which would stimulate bottom-up initiatives by consortia ready to handle the project risks;</w:t>
      </w:r>
    </w:p>
    <w:p w:rsidR="0068566D" w:rsidRPr="0068566D" w:rsidRDefault="0068566D" w:rsidP="00A971CD">
      <w:pPr>
        <w:pStyle w:val="ad"/>
        <w:numPr>
          <w:ilvl w:val="0"/>
          <w:numId w:val="32"/>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Ensure that all projects identified as high-risk “innovation projects” as above are screened and evaluated by the similar criteria and procedures even if they originate in different state programmes and are funded by instruments tolerating risk;</w:t>
      </w:r>
    </w:p>
    <w:p w:rsidR="0068566D" w:rsidRDefault="0068566D" w:rsidP="00A971CD">
      <w:pPr>
        <w:pStyle w:val="ad"/>
        <w:numPr>
          <w:ilvl w:val="0"/>
          <w:numId w:val="32"/>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Introduce the definition of “innovative modernisation project” which would cover investment projects for the introduction of new production facilities with a low degree of risk which could be funded with the now existing policy instruments.</w:t>
      </w:r>
    </w:p>
    <w:p w:rsidR="00571285" w:rsidRDefault="00571285" w:rsidP="00571285">
      <w:pPr>
        <w:spacing w:after="0" w:line="240" w:lineRule="auto"/>
        <w:jc w:val="both"/>
        <w:rPr>
          <w:rFonts w:ascii="Times New Roman" w:hAnsi="Times New Roman" w:cs="Times New Roman"/>
          <w:sz w:val="24"/>
          <w:szCs w:val="24"/>
        </w:rPr>
      </w:pPr>
    </w:p>
    <w:p w:rsidR="0068566D" w:rsidRP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2.2</w:t>
      </w:r>
      <w:r w:rsidR="009C064D" w:rsidRPr="00754435">
        <w:rPr>
          <w:rFonts w:ascii="Times New Roman" w:hAnsi="Times New Roman" w:cs="Times New Roman"/>
          <w:sz w:val="24"/>
          <w:szCs w:val="24"/>
        </w:rPr>
        <w:t xml:space="preserve"> </w:t>
      </w:r>
      <w:r w:rsidRPr="0068566D">
        <w:rPr>
          <w:rFonts w:ascii="Times New Roman" w:hAnsi="Times New Roman" w:cs="Times New Roman"/>
          <w:sz w:val="24"/>
          <w:szCs w:val="24"/>
        </w:rPr>
        <w:t>Initiate a gradual transition from predominantly vertical to predominantly horizontal policy mechanisms and instruments in the innovation policy mix</w:t>
      </w:r>
      <w:r w:rsidR="007656A7">
        <w:rPr>
          <w:rFonts w:ascii="Times New Roman" w:hAnsi="Times New Roman" w:cs="Times New Roman"/>
          <w:sz w:val="24"/>
          <w:szCs w:val="24"/>
        </w:rPr>
        <w:t xml:space="preserve">. </w:t>
      </w:r>
      <w:r w:rsidR="007656A7" w:rsidRPr="007656A7">
        <w:rPr>
          <w:rFonts w:ascii="Times New Roman" w:hAnsi="Times New Roman" w:cs="Times New Roman"/>
          <w:sz w:val="24"/>
          <w:szCs w:val="24"/>
        </w:rPr>
        <w:t>The SCST and other relevant institutions should undertake the following tasks</w:t>
      </w:r>
      <w:r w:rsidRPr="0068566D">
        <w:rPr>
          <w:rFonts w:ascii="Times New Roman" w:hAnsi="Times New Roman" w:cs="Times New Roman"/>
          <w:sz w:val="24"/>
          <w:szCs w:val="24"/>
        </w:rPr>
        <w:t>:</w:t>
      </w:r>
    </w:p>
    <w:p w:rsidR="0068566D" w:rsidRPr="0068566D" w:rsidRDefault="0068566D" w:rsidP="0068566D">
      <w:pPr>
        <w:spacing w:after="0" w:line="240" w:lineRule="auto"/>
        <w:jc w:val="both"/>
        <w:rPr>
          <w:rFonts w:ascii="Times New Roman" w:hAnsi="Times New Roman" w:cs="Times New Roman"/>
          <w:sz w:val="24"/>
          <w:szCs w:val="24"/>
        </w:rPr>
      </w:pP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Prepare proposals for gradually reducing the degree of preselection of lead implementing organisations in state R&amp;D programmes and SPID, and leaving more scope for bottom-up initiatives for the implementation of these programmes and projects on the basis of open competitive calls;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Prepare proposals for the gradual restructuring of the overall budgetary funding of R&amp;D and innovation towards the allocation of more funds for open-ended competitive calls (both in state S&amp;T programmes and in SPID) matching the above shifts;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Parallel to that, increase the shares of funding of high-risk “innovation projects” and early stage financing of innovative activity while at the same time reducing the share of low risk “innovative modernisation projects”;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Within public early stage financing, increase substantially the share of grant financing while at the same time reducing the share of loans;</w:t>
      </w:r>
    </w:p>
    <w:p w:rsid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lastRenderedPageBreak/>
        <w:t>Align the policy instruments and mechanisms and design new ones for the implementation of horizontal-type innovation policy. In particular, introduce instruments for the organisation and management of open competitive calls.</w:t>
      </w:r>
    </w:p>
    <w:p w:rsidR="00463780" w:rsidRDefault="00463780" w:rsidP="00463780">
      <w:pPr>
        <w:spacing w:after="0" w:line="240" w:lineRule="auto"/>
        <w:jc w:val="both"/>
        <w:rPr>
          <w:rFonts w:ascii="Times New Roman" w:hAnsi="Times New Roman" w:cs="Times New Roman"/>
          <w:sz w:val="24"/>
          <w:szCs w:val="24"/>
        </w:rPr>
      </w:pPr>
    </w:p>
    <w:p w:rsidR="00463780" w:rsidRDefault="00463780" w:rsidP="00463780">
      <w:pPr>
        <w:spacing w:after="0" w:line="240" w:lineRule="auto"/>
        <w:jc w:val="both"/>
        <w:rPr>
          <w:rFonts w:ascii="Times New Roman" w:hAnsi="Times New Roman" w:cs="Times New Roman"/>
          <w:sz w:val="24"/>
          <w:szCs w:val="24"/>
        </w:rPr>
      </w:pPr>
    </w:p>
    <w:p w:rsidR="0068566D" w:rsidRP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2.3</w:t>
      </w:r>
      <w:r w:rsidR="00754435">
        <w:rPr>
          <w:rFonts w:ascii="Times New Roman" w:hAnsi="Times New Roman" w:cs="Times New Roman"/>
          <w:sz w:val="24"/>
          <w:szCs w:val="24"/>
        </w:rPr>
        <w:t xml:space="preserve"> </w:t>
      </w:r>
      <w:r w:rsidRPr="0068566D">
        <w:rPr>
          <w:rFonts w:ascii="Times New Roman" w:hAnsi="Times New Roman" w:cs="Times New Roman"/>
          <w:sz w:val="24"/>
          <w:szCs w:val="24"/>
        </w:rPr>
        <w:t>Ensure a better match between the strategic objectives of innovative development and the available policy instruments and public funding to pursue such objectives</w:t>
      </w:r>
      <w:r w:rsidR="007656A7">
        <w:rPr>
          <w:rFonts w:ascii="Times New Roman" w:hAnsi="Times New Roman" w:cs="Times New Roman"/>
          <w:sz w:val="24"/>
          <w:szCs w:val="24"/>
        </w:rPr>
        <w:t>.</w:t>
      </w:r>
      <w:r w:rsidR="007656A7" w:rsidRPr="007656A7">
        <w:t xml:space="preserve"> </w:t>
      </w:r>
      <w:r w:rsidR="007656A7" w:rsidRPr="007656A7">
        <w:rPr>
          <w:rFonts w:ascii="Times New Roman" w:hAnsi="Times New Roman" w:cs="Times New Roman"/>
          <w:sz w:val="24"/>
          <w:szCs w:val="24"/>
        </w:rPr>
        <w:t>The SCST and other relevant institutions should undertake the following tasks</w:t>
      </w:r>
      <w:r w:rsidRPr="0068566D">
        <w:rPr>
          <w:rFonts w:ascii="Times New Roman" w:hAnsi="Times New Roman" w:cs="Times New Roman"/>
          <w:sz w:val="24"/>
          <w:szCs w:val="24"/>
        </w:rPr>
        <w:t>:</w:t>
      </w:r>
    </w:p>
    <w:p w:rsidR="0068566D" w:rsidRPr="0068566D" w:rsidRDefault="0068566D" w:rsidP="0068566D">
      <w:pPr>
        <w:spacing w:after="0" w:line="240" w:lineRule="auto"/>
        <w:jc w:val="both"/>
        <w:rPr>
          <w:rFonts w:ascii="Times New Roman" w:hAnsi="Times New Roman" w:cs="Times New Roman"/>
          <w:sz w:val="24"/>
          <w:szCs w:val="24"/>
        </w:rPr>
      </w:pP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 xml:space="preserve">Undertake a critical review of SPID 2016-2020 objectives with a view to identifying mismatches between strategic objectives and available policy instruments to pursue these objectives; </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In the cases of strategic objectives which are not matched by available policy instruments and funding prepare proposal for the introduction of such instruments backed by adequate funding, to be designed and introduced in  the course of the SPID 2016-2020 implementation;</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Consider, among the now missing policy instruments, introducing open horizontal competitive calls for collaborative innovative projects; instruments supporting international linkages with global technology-centred value chains; grants supporting the establishment of innovative University startups or spinoffs based on clearly defined IPRs; instruments catering to the specificity of non-technological innovation;</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Specify in the state S&amp;T programmes and SPID what programmatic activities will be funded by which policy instruments. In particular, make a clear distinction between high-risk “innovation projects” and low risk “innovative modernisation project”;</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Revisit the procedure of developing the SPID and ensure that in the next programmatic cycle strategic objectives are strictly matched by policy instruments backed with adequate funding.</w:t>
      </w:r>
    </w:p>
    <w:p w:rsidR="0068566D" w:rsidRPr="0068566D" w:rsidRDefault="0068566D" w:rsidP="0068566D">
      <w:pPr>
        <w:spacing w:after="0" w:line="240" w:lineRule="auto"/>
        <w:jc w:val="both"/>
        <w:rPr>
          <w:rFonts w:ascii="Times New Roman" w:hAnsi="Times New Roman" w:cs="Times New Roman"/>
          <w:sz w:val="24"/>
          <w:szCs w:val="24"/>
          <w:u w:val="single"/>
        </w:rPr>
      </w:pPr>
    </w:p>
    <w:p w:rsidR="0068566D" w:rsidRP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2.4</w:t>
      </w:r>
      <w:r w:rsidR="009C064D">
        <w:rPr>
          <w:rFonts w:ascii="Times New Roman" w:hAnsi="Times New Roman" w:cs="Times New Roman"/>
          <w:sz w:val="24"/>
          <w:szCs w:val="24"/>
          <w:u w:val="single"/>
        </w:rPr>
        <w:t xml:space="preserve"> </w:t>
      </w:r>
      <w:r w:rsidRPr="0068566D">
        <w:rPr>
          <w:rFonts w:ascii="Times New Roman" w:hAnsi="Times New Roman" w:cs="Times New Roman"/>
          <w:sz w:val="24"/>
          <w:szCs w:val="24"/>
        </w:rPr>
        <w:t>Streamline innovation governance with a view to rationalizing public sector decision making related to innovation policy implementation:</w:t>
      </w:r>
    </w:p>
    <w:p w:rsidR="0068566D" w:rsidRPr="0068566D" w:rsidRDefault="0068566D" w:rsidP="0068566D">
      <w:pPr>
        <w:spacing w:after="0" w:line="240" w:lineRule="auto"/>
        <w:jc w:val="both"/>
        <w:rPr>
          <w:rFonts w:ascii="Times New Roman" w:hAnsi="Times New Roman" w:cs="Times New Roman"/>
          <w:sz w:val="24"/>
          <w:szCs w:val="24"/>
        </w:rPr>
      </w:pPr>
    </w:p>
    <w:p w:rsidR="0068566D" w:rsidRPr="0068566D" w:rsidRDefault="007656A7"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SCST should p</w:t>
      </w:r>
      <w:r w:rsidR="0068566D" w:rsidRPr="0068566D">
        <w:rPr>
          <w:rFonts w:ascii="Times New Roman" w:hAnsi="Times New Roman" w:cs="Times New Roman"/>
          <w:sz w:val="24"/>
          <w:szCs w:val="24"/>
        </w:rPr>
        <w:t>repare, in consultations with the public bodies concerned</w:t>
      </w:r>
      <w:r>
        <w:rPr>
          <w:rFonts w:ascii="Times New Roman" w:hAnsi="Times New Roman" w:cs="Times New Roman"/>
          <w:sz w:val="24"/>
          <w:szCs w:val="24"/>
        </w:rPr>
        <w:t xml:space="preserve"> (i.e. Ministry of Economy, </w:t>
      </w:r>
      <w:r w:rsidR="00574491">
        <w:rPr>
          <w:rFonts w:ascii="Times New Roman" w:hAnsi="Times New Roman" w:cs="Times New Roman"/>
          <w:sz w:val="24"/>
          <w:szCs w:val="24"/>
        </w:rPr>
        <w:t>Council of Ministers</w:t>
      </w:r>
      <w:r w:rsidR="00223761">
        <w:rPr>
          <w:rFonts w:ascii="Times New Roman" w:hAnsi="Times New Roman" w:cs="Times New Roman"/>
          <w:sz w:val="24"/>
          <w:szCs w:val="24"/>
        </w:rPr>
        <w:t>, “principal” bodies</w:t>
      </w:r>
      <w:r w:rsidR="00574491">
        <w:rPr>
          <w:rFonts w:ascii="Times New Roman" w:hAnsi="Times New Roman" w:cs="Times New Roman"/>
          <w:sz w:val="24"/>
          <w:szCs w:val="24"/>
        </w:rPr>
        <w:t>)</w:t>
      </w:r>
      <w:r w:rsidR="0068566D" w:rsidRPr="0068566D">
        <w:rPr>
          <w:rFonts w:ascii="Times New Roman" w:hAnsi="Times New Roman" w:cs="Times New Roman"/>
          <w:sz w:val="24"/>
          <w:szCs w:val="24"/>
        </w:rPr>
        <w:t>proposals for simplifying the screening and evaluation process of innovation and R&amp;D projects from the respective state programmes and the related decision making process for the release of public funds for project financing;</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Prepare, in consultations with the public bodies concerned, proposals for a “one-stop-shop” decision-making process, by delegating respective public bodies with the necessary authority to take final decisions on the release of funding for innovation and R&amp;D projects;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A possible way of streamlining funding decision-making could be the establishment of a joint Interagency Funding Committee with delegated authority to take the final decision on the release of public funds for all R&amp;D and innovation projects under different programmes.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 xml:space="preserve">Consider measures for better aligning the implementation of the State Science and Technology Programmes with the objectives of the State Programme for Innovative Development, including the allocation of public funds. The joint Interagency Funding Committee could perform coordination functions to this effect. </w:t>
      </w:r>
    </w:p>
    <w:p w:rsidR="0068566D" w:rsidRPr="0068566D" w:rsidRDefault="0068566D" w:rsidP="0068566D">
      <w:pPr>
        <w:spacing w:after="0" w:line="240" w:lineRule="auto"/>
        <w:jc w:val="both"/>
        <w:rPr>
          <w:rFonts w:ascii="Times New Roman" w:hAnsi="Times New Roman" w:cs="Times New Roman"/>
          <w:sz w:val="24"/>
          <w:szCs w:val="24"/>
          <w:u w:val="single"/>
        </w:rPr>
      </w:pPr>
    </w:p>
    <w:p w:rsidR="0068566D" w:rsidRP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lastRenderedPageBreak/>
        <w:t>2.5</w:t>
      </w:r>
      <w:r w:rsidR="009C064D" w:rsidRPr="00754435">
        <w:rPr>
          <w:rFonts w:ascii="Times New Roman" w:hAnsi="Times New Roman" w:cs="Times New Roman"/>
          <w:sz w:val="24"/>
          <w:szCs w:val="24"/>
        </w:rPr>
        <w:t xml:space="preserve"> </w:t>
      </w:r>
      <w:r w:rsidR="00223761">
        <w:rPr>
          <w:rFonts w:ascii="Times New Roman" w:hAnsi="Times New Roman" w:cs="Times New Roman"/>
          <w:sz w:val="24"/>
          <w:szCs w:val="24"/>
        </w:rPr>
        <w:t>SCST in cooperation with Belinfund, NAS and subordinate bodies should i</w:t>
      </w:r>
      <w:r w:rsidRPr="0068566D">
        <w:rPr>
          <w:rFonts w:ascii="Times New Roman" w:hAnsi="Times New Roman" w:cs="Times New Roman"/>
          <w:sz w:val="24"/>
          <w:szCs w:val="24"/>
        </w:rPr>
        <w:t>nitiate measures for the further development and strengthening of the NIS and the enhancement of weak components.</w:t>
      </w:r>
    </w:p>
    <w:p w:rsidR="0068566D" w:rsidRPr="0068566D" w:rsidRDefault="0068566D" w:rsidP="0068566D">
      <w:pPr>
        <w:spacing w:after="0" w:line="240" w:lineRule="auto"/>
        <w:jc w:val="both"/>
        <w:rPr>
          <w:rFonts w:ascii="Times New Roman" w:hAnsi="Times New Roman" w:cs="Times New Roman"/>
          <w:sz w:val="24"/>
          <w:szCs w:val="24"/>
        </w:rPr>
      </w:pP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Define the strengthening of connectivity and collaboration in the NIS as a strategic objective of innovation policy. Introduce policy instruments to pursue this objective in line with Recommendation 2.3. Set up a system of monitoring linkages and collaboration in undertaking innovation activity among innovation stakeholders in the NIS;</w:t>
      </w:r>
    </w:p>
    <w:p w:rsidR="0068566D" w:rsidRPr="0068566D" w:rsidRDefault="009521E8"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cooperation with Technology parks, d</w:t>
      </w:r>
      <w:r w:rsidR="0068566D" w:rsidRPr="0068566D">
        <w:rPr>
          <w:rFonts w:ascii="Times New Roman" w:hAnsi="Times New Roman" w:cs="Times New Roman"/>
          <w:sz w:val="24"/>
          <w:szCs w:val="24"/>
        </w:rPr>
        <w:t>efine the strengthening of international linkages leading to global technology-centred value chains as a strategic objective of innovation policy. Introduce policy instruments to pursue this objective in line with Recommendations 2.3 and 2.6. Set up a system of monitoring such international linkages;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Complement these measures with additional non-financial coordination instruments to support connectivity and linkages, in particular those facilitating networking and information sharing among potential stakeholders;</w:t>
      </w:r>
    </w:p>
    <w:p w:rsidR="0068566D" w:rsidRPr="0068566D" w:rsidRDefault="00223761"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cooperation with the NCIP, s</w:t>
      </w:r>
      <w:r w:rsidR="0068566D" w:rsidRPr="0068566D">
        <w:rPr>
          <w:rFonts w:ascii="Times New Roman" w:hAnsi="Times New Roman" w:cs="Times New Roman"/>
          <w:sz w:val="24"/>
          <w:szCs w:val="24"/>
        </w:rPr>
        <w:t>trengthen the systemic role of intellectual property rights (IPR). To this effect develop and introduce, in follow-up to Edict 59, detailed regulation and implementation guidelines which allow: a) unambiguous identification of the legal owners of IPRs stemming from research undertaken with public funding; b) straightforward procedures for the sharing of IPR ownership between legal owners, including individual researchers and research teams;</w:t>
      </w:r>
    </w:p>
    <w:p w:rsidR="0068566D" w:rsidRDefault="009521E8"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cooperation with the Ministry of Economy, d</w:t>
      </w:r>
      <w:r w:rsidR="0068566D" w:rsidRPr="0068566D">
        <w:rPr>
          <w:rFonts w:ascii="Times New Roman" w:hAnsi="Times New Roman" w:cs="Times New Roman"/>
          <w:sz w:val="24"/>
          <w:szCs w:val="24"/>
        </w:rPr>
        <w:t xml:space="preserve">esign targeted tax incentives to encourage private sector engagement in the early stages (business angel and venture) financing of innovation activity. </w:t>
      </w:r>
    </w:p>
    <w:p w:rsidR="00754435" w:rsidRPr="00754435" w:rsidRDefault="00754435" w:rsidP="00754435">
      <w:pPr>
        <w:pStyle w:val="ad"/>
        <w:numPr>
          <w:ilvl w:val="0"/>
          <w:numId w:val="5"/>
        </w:num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 xml:space="preserve">Cluster development is on the agenda of Strategies but the progress is still limited. </w:t>
      </w:r>
      <w:r w:rsidR="009521E8">
        <w:rPr>
          <w:rFonts w:ascii="Times New Roman" w:hAnsi="Times New Roman" w:cs="Times New Roman"/>
          <w:sz w:val="24"/>
          <w:szCs w:val="24"/>
        </w:rPr>
        <w:t>In cooperation with other public bodies (i.e. Ministry of Economy, NAS) the SCCT should seek f</w:t>
      </w:r>
      <w:r w:rsidRPr="00754435">
        <w:rPr>
          <w:rFonts w:ascii="Times New Roman" w:hAnsi="Times New Roman" w:cs="Times New Roman"/>
          <w:sz w:val="24"/>
          <w:szCs w:val="24"/>
        </w:rPr>
        <w:t>urther transformation of organisations and incentives need to overcome the fragmented business structure, the shortage of R&amp;D centres in several specialized fields of applied science, a lack of engineering and other innovation service firms</w:t>
      </w:r>
      <w:r w:rsidR="009521E8">
        <w:rPr>
          <w:rFonts w:ascii="Times New Roman" w:hAnsi="Times New Roman" w:cs="Times New Roman"/>
          <w:sz w:val="24"/>
          <w:szCs w:val="24"/>
        </w:rPr>
        <w:t>,</w:t>
      </w:r>
      <w:r w:rsidRPr="00754435">
        <w:rPr>
          <w:rFonts w:ascii="Times New Roman" w:hAnsi="Times New Roman" w:cs="Times New Roman"/>
          <w:sz w:val="24"/>
          <w:szCs w:val="24"/>
        </w:rPr>
        <w:t xml:space="preserve">  and a weak tradition in open innovation. </w:t>
      </w:r>
    </w:p>
    <w:p w:rsidR="00754435" w:rsidRPr="0068566D" w:rsidRDefault="009521E8" w:rsidP="009521E8">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cooperation with the </w:t>
      </w:r>
      <w:r w:rsidRPr="009521E8">
        <w:rPr>
          <w:rFonts w:ascii="Times New Roman" w:hAnsi="Times New Roman" w:cs="Times New Roman"/>
          <w:sz w:val="24"/>
          <w:szCs w:val="24"/>
        </w:rPr>
        <w:t>Belarusian Fund for Financial Support of Entrepreneurs</w:t>
      </w:r>
      <w:r>
        <w:rPr>
          <w:rFonts w:ascii="Times New Roman" w:hAnsi="Times New Roman" w:cs="Times New Roman"/>
          <w:sz w:val="24"/>
          <w:szCs w:val="24"/>
        </w:rPr>
        <w:t>,</w:t>
      </w:r>
      <w:r w:rsidRPr="009521E8">
        <w:rPr>
          <w:rFonts w:ascii="Times New Roman" w:hAnsi="Times New Roman" w:cs="Times New Roman"/>
          <w:sz w:val="24"/>
          <w:szCs w:val="24"/>
        </w:rPr>
        <w:t xml:space="preserve"> </w:t>
      </w:r>
      <w:r w:rsidR="00754435">
        <w:rPr>
          <w:rFonts w:ascii="Times New Roman" w:hAnsi="Times New Roman" w:cs="Times New Roman"/>
          <w:sz w:val="24"/>
          <w:szCs w:val="24"/>
        </w:rPr>
        <w:t>L</w:t>
      </w:r>
      <w:r w:rsidR="00754435" w:rsidRPr="00754435">
        <w:rPr>
          <w:rFonts w:ascii="Times New Roman" w:hAnsi="Times New Roman" w:cs="Times New Roman"/>
          <w:sz w:val="24"/>
          <w:szCs w:val="24"/>
        </w:rPr>
        <w:t>aunch programmes and supporting schemes to nurture competitive supplier firms around leading innovative companies.</w:t>
      </w:r>
    </w:p>
    <w:p w:rsidR="0068566D" w:rsidRPr="0068566D" w:rsidRDefault="0068566D" w:rsidP="0068566D">
      <w:pPr>
        <w:spacing w:after="0" w:line="240" w:lineRule="auto"/>
        <w:jc w:val="both"/>
        <w:rPr>
          <w:rFonts w:ascii="Times New Roman" w:hAnsi="Times New Roman" w:cs="Times New Roman"/>
          <w:sz w:val="24"/>
          <w:szCs w:val="24"/>
          <w:u w:val="single"/>
        </w:rPr>
      </w:pPr>
    </w:p>
    <w:p w:rsidR="0068566D" w:rsidRPr="0068566D" w:rsidRDefault="0068566D" w:rsidP="0068566D">
      <w:p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2.6</w:t>
      </w:r>
      <w:r w:rsidR="00A971CD">
        <w:rPr>
          <w:rFonts w:ascii="Times New Roman" w:hAnsi="Times New Roman" w:cs="Times New Roman"/>
          <w:sz w:val="24"/>
          <w:szCs w:val="24"/>
        </w:rPr>
        <w:t xml:space="preserve"> </w:t>
      </w:r>
      <w:r w:rsidR="009521E8" w:rsidRPr="00A971CD">
        <w:rPr>
          <w:rFonts w:ascii="Times New Roman" w:hAnsi="Times New Roman" w:cs="Times New Roman"/>
          <w:sz w:val="24"/>
          <w:szCs w:val="24"/>
        </w:rPr>
        <w:t>SCST in cooperation with the Ministry of Economy should s</w:t>
      </w:r>
      <w:r w:rsidRPr="00A971CD">
        <w:rPr>
          <w:rFonts w:ascii="Times New Roman" w:hAnsi="Times New Roman" w:cs="Times New Roman"/>
          <w:sz w:val="24"/>
          <w:szCs w:val="24"/>
        </w:rPr>
        <w:t xml:space="preserve">et </w:t>
      </w:r>
      <w:r w:rsidRPr="0068566D">
        <w:rPr>
          <w:rFonts w:ascii="Times New Roman" w:hAnsi="Times New Roman" w:cs="Times New Roman"/>
          <w:sz w:val="24"/>
          <w:szCs w:val="24"/>
        </w:rPr>
        <w:t>up a system of measures to strengthen innovation-related competition and spur bottom-up entrepreneurial initiatives:</w:t>
      </w:r>
    </w:p>
    <w:p w:rsidR="0068566D" w:rsidRPr="0068566D" w:rsidRDefault="0068566D" w:rsidP="0068566D">
      <w:pPr>
        <w:spacing w:after="0" w:line="240" w:lineRule="auto"/>
        <w:jc w:val="both"/>
        <w:rPr>
          <w:rFonts w:ascii="Times New Roman" w:hAnsi="Times New Roman" w:cs="Times New Roman"/>
          <w:sz w:val="24"/>
          <w:szCs w:val="24"/>
        </w:rPr>
      </w:pP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Introduce the principle of “competitive procurement” based on open competitive calls as the leading method of public support of innovation and R&amp;D programmes and projects. Proposals for other procurement methods of innovation and R&amp;D projects would need to be justified in each case;</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Consider possibly aligning such competitive calls with the Law on public procurement;</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Remove all discriminatory regulatory obstacles (related to ownership, size, legal status) for the participation of local applicants in the open competitive calls for innovation and R&amp;D projects;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lastRenderedPageBreak/>
        <w:t>Define stimulating regulatory incentives for the participation of foreign applicants of a desired type (e.g. linked to global technological value chains) in some of the open competitive calls for innovation and R&amp;D projects;</w:t>
      </w:r>
    </w:p>
    <w:p w:rsidR="0068566D" w:rsidRP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68566D">
        <w:rPr>
          <w:rFonts w:ascii="Times New Roman" w:hAnsi="Times New Roman" w:cs="Times New Roman"/>
          <w:sz w:val="24"/>
          <w:szCs w:val="24"/>
        </w:rPr>
        <w:t>Define the significant increase of innovative entrepreneurship (in particular, private individual innovative entrepreneurs and SMEs) as a strategic objective of innovation policy and set concrete targets to this effect. Introduce policy instruments to pursue this objective in line with Recommendations 2.3 and 2.5, in particular, for the support of technology-based start</w:t>
      </w:r>
      <w:r w:rsidR="00A13A0F">
        <w:rPr>
          <w:rFonts w:ascii="Times New Roman" w:hAnsi="Times New Roman" w:cs="Times New Roman"/>
          <w:sz w:val="24"/>
          <w:szCs w:val="24"/>
        </w:rPr>
        <w:t>-</w:t>
      </w:r>
      <w:r w:rsidRPr="0068566D">
        <w:rPr>
          <w:rFonts w:ascii="Times New Roman" w:hAnsi="Times New Roman" w:cs="Times New Roman"/>
          <w:sz w:val="24"/>
          <w:szCs w:val="24"/>
        </w:rPr>
        <w:t>ups and spin-offs. Set up a system of monitoring the development of innovative entrepreneurship and the degree of achievement of targets.</w:t>
      </w:r>
    </w:p>
    <w:p w:rsidR="0068566D" w:rsidRDefault="0068566D" w:rsidP="0068566D">
      <w:pPr>
        <w:spacing w:after="0" w:line="240" w:lineRule="auto"/>
        <w:jc w:val="both"/>
        <w:rPr>
          <w:rFonts w:ascii="Times New Roman" w:hAnsi="Times New Roman" w:cs="Times New Roman"/>
          <w:sz w:val="24"/>
          <w:szCs w:val="24"/>
        </w:rPr>
      </w:pPr>
    </w:p>
    <w:p w:rsidR="00E141AD" w:rsidRPr="00E141AD" w:rsidRDefault="00A13A0F" w:rsidP="00E14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E141AD">
        <w:rPr>
          <w:rFonts w:ascii="Times New Roman" w:hAnsi="Times New Roman" w:cs="Times New Roman"/>
          <w:sz w:val="24"/>
          <w:szCs w:val="24"/>
        </w:rPr>
        <w:tab/>
      </w:r>
      <w:r w:rsidR="00E141AD" w:rsidRPr="00E141AD">
        <w:t xml:space="preserve"> </w:t>
      </w:r>
      <w:r w:rsidR="00E141AD" w:rsidRPr="00E141AD">
        <w:rPr>
          <w:rFonts w:ascii="Times New Roman" w:hAnsi="Times New Roman" w:cs="Times New Roman"/>
          <w:sz w:val="24"/>
          <w:szCs w:val="24"/>
        </w:rPr>
        <w:t xml:space="preserve">The system of R&amp;D and innovation funding has been conceptually improved since the first Innovation Performance Review. However, most </w:t>
      </w:r>
      <w:r w:rsidR="00993412">
        <w:rPr>
          <w:rFonts w:ascii="Times New Roman" w:hAnsi="Times New Roman" w:cs="Times New Roman"/>
          <w:sz w:val="24"/>
          <w:szCs w:val="24"/>
        </w:rPr>
        <w:t>financial</w:t>
      </w:r>
      <w:r w:rsidR="00E141AD" w:rsidRPr="00E141AD">
        <w:rPr>
          <w:rFonts w:ascii="Times New Roman" w:hAnsi="Times New Roman" w:cs="Times New Roman"/>
          <w:sz w:val="24"/>
          <w:szCs w:val="24"/>
        </w:rPr>
        <w:t xml:space="preserve"> mechanisms are not yet </w:t>
      </w:r>
      <w:r w:rsidR="00993412">
        <w:rPr>
          <w:rFonts w:ascii="Times New Roman" w:hAnsi="Times New Roman" w:cs="Times New Roman"/>
          <w:sz w:val="24"/>
          <w:szCs w:val="24"/>
        </w:rPr>
        <w:t xml:space="preserve">fully </w:t>
      </w:r>
      <w:r w:rsidR="00E141AD" w:rsidRPr="00E141AD">
        <w:rPr>
          <w:rFonts w:ascii="Times New Roman" w:hAnsi="Times New Roman" w:cs="Times New Roman"/>
          <w:sz w:val="24"/>
          <w:szCs w:val="24"/>
        </w:rPr>
        <w:t xml:space="preserve">implemented. With view to the further improvement of innovation financing, the following measures </w:t>
      </w:r>
      <w:r w:rsidR="00811039">
        <w:rPr>
          <w:rFonts w:ascii="Times New Roman" w:hAnsi="Times New Roman" w:cs="Times New Roman"/>
          <w:sz w:val="24"/>
          <w:szCs w:val="24"/>
        </w:rPr>
        <w:t>are recommended</w:t>
      </w:r>
      <w:r w:rsidR="00E141AD" w:rsidRPr="00E141AD">
        <w:rPr>
          <w:rFonts w:ascii="Times New Roman" w:hAnsi="Times New Roman" w:cs="Times New Roman"/>
          <w:sz w:val="24"/>
          <w:szCs w:val="24"/>
        </w:rPr>
        <w:t xml:space="preserve">: </w:t>
      </w:r>
    </w:p>
    <w:p w:rsidR="00E141AD" w:rsidRPr="00E141AD" w:rsidRDefault="00E141AD" w:rsidP="00E141AD">
      <w:pPr>
        <w:spacing w:after="0" w:line="240" w:lineRule="auto"/>
        <w:jc w:val="both"/>
        <w:rPr>
          <w:rFonts w:ascii="Times New Roman" w:hAnsi="Times New Roman" w:cs="Times New Roman"/>
          <w:sz w:val="24"/>
          <w:szCs w:val="24"/>
        </w:rPr>
      </w:pPr>
      <w:r w:rsidRPr="00E141AD">
        <w:rPr>
          <w:rFonts w:ascii="Times New Roman" w:hAnsi="Times New Roman" w:cs="Times New Roman"/>
          <w:sz w:val="24"/>
          <w:szCs w:val="24"/>
        </w:rPr>
        <w:t xml:space="preserve">  </w:t>
      </w:r>
    </w:p>
    <w:p w:rsidR="00E141AD" w:rsidRPr="00E141AD" w:rsidRDefault="00E141AD" w:rsidP="007D6F1B">
      <w:pPr>
        <w:pStyle w:val="ad"/>
        <w:numPr>
          <w:ilvl w:val="0"/>
          <w:numId w:val="5"/>
        </w:numPr>
        <w:spacing w:after="0" w:line="240" w:lineRule="auto"/>
        <w:jc w:val="both"/>
        <w:rPr>
          <w:rFonts w:ascii="Times New Roman" w:hAnsi="Times New Roman" w:cs="Times New Roman"/>
          <w:sz w:val="24"/>
          <w:szCs w:val="24"/>
        </w:rPr>
      </w:pPr>
      <w:r w:rsidRPr="00E141AD">
        <w:rPr>
          <w:rFonts w:ascii="Times New Roman" w:hAnsi="Times New Roman" w:cs="Times New Roman"/>
          <w:sz w:val="24"/>
          <w:szCs w:val="24"/>
        </w:rPr>
        <w:t>The new schemes conceptualized by the Belarusian Innovation Fund (BIF), like the support of early-stage or the initial R&amp;D phase, vouchers and grants as well as venture funding should be implemented, particularly against the background that the BIF has already fulfilled most of the preparatory steps;</w:t>
      </w:r>
    </w:p>
    <w:p w:rsidR="00E141AD" w:rsidRPr="00E141AD" w:rsidRDefault="00E141AD" w:rsidP="007D6F1B">
      <w:pPr>
        <w:pStyle w:val="ad"/>
        <w:numPr>
          <w:ilvl w:val="0"/>
          <w:numId w:val="5"/>
        </w:numPr>
        <w:spacing w:after="0" w:line="240" w:lineRule="auto"/>
        <w:jc w:val="both"/>
        <w:rPr>
          <w:rFonts w:ascii="Times New Roman" w:hAnsi="Times New Roman" w:cs="Times New Roman"/>
          <w:sz w:val="24"/>
          <w:szCs w:val="24"/>
        </w:rPr>
      </w:pPr>
      <w:r w:rsidRPr="00E141AD">
        <w:rPr>
          <w:rFonts w:ascii="Times New Roman" w:hAnsi="Times New Roman" w:cs="Times New Roman"/>
          <w:sz w:val="24"/>
          <w:szCs w:val="24"/>
        </w:rPr>
        <w:t>In general, the shift from financing low-risk (infrastructure) projects to (early-stage) high-risk projects should be consequently followed;</w:t>
      </w:r>
    </w:p>
    <w:p w:rsidR="00E141AD" w:rsidRPr="00E141AD" w:rsidRDefault="00E141AD" w:rsidP="007D6F1B">
      <w:pPr>
        <w:pStyle w:val="ad"/>
        <w:numPr>
          <w:ilvl w:val="0"/>
          <w:numId w:val="5"/>
        </w:numPr>
        <w:spacing w:after="0" w:line="240" w:lineRule="auto"/>
        <w:jc w:val="both"/>
        <w:rPr>
          <w:rFonts w:ascii="Times New Roman" w:hAnsi="Times New Roman" w:cs="Times New Roman"/>
          <w:sz w:val="24"/>
          <w:szCs w:val="24"/>
        </w:rPr>
      </w:pPr>
      <w:r w:rsidRPr="00E141AD">
        <w:rPr>
          <w:rFonts w:ascii="Times New Roman" w:hAnsi="Times New Roman" w:cs="Times New Roman"/>
          <w:sz w:val="24"/>
          <w:szCs w:val="24"/>
        </w:rPr>
        <w:t xml:space="preserve">The establishment of foreign partnerships within the context of venture financing is welcome and should be </w:t>
      </w:r>
      <w:r w:rsidR="009C064D">
        <w:rPr>
          <w:rFonts w:ascii="Times New Roman" w:hAnsi="Times New Roman" w:cs="Times New Roman"/>
          <w:sz w:val="24"/>
          <w:szCs w:val="24"/>
        </w:rPr>
        <w:t xml:space="preserve">further </w:t>
      </w:r>
      <w:r w:rsidRPr="00E141AD">
        <w:rPr>
          <w:rFonts w:ascii="Times New Roman" w:hAnsi="Times New Roman" w:cs="Times New Roman"/>
          <w:sz w:val="24"/>
          <w:szCs w:val="24"/>
        </w:rPr>
        <w:t xml:space="preserve">implemented </w:t>
      </w:r>
      <w:r w:rsidR="009C064D">
        <w:rPr>
          <w:rFonts w:ascii="Times New Roman" w:hAnsi="Times New Roman" w:cs="Times New Roman"/>
          <w:sz w:val="24"/>
          <w:szCs w:val="24"/>
        </w:rPr>
        <w:t xml:space="preserve">by </w:t>
      </w:r>
      <w:r w:rsidRPr="00E141AD">
        <w:rPr>
          <w:rFonts w:ascii="Times New Roman" w:hAnsi="Times New Roman" w:cs="Times New Roman"/>
          <w:sz w:val="24"/>
          <w:szCs w:val="24"/>
        </w:rPr>
        <w:t xml:space="preserve">BIF; </w:t>
      </w:r>
      <w:r w:rsidR="009C064D">
        <w:rPr>
          <w:rFonts w:ascii="Times New Roman" w:hAnsi="Times New Roman" w:cs="Times New Roman"/>
          <w:sz w:val="24"/>
          <w:szCs w:val="24"/>
        </w:rPr>
        <w:t xml:space="preserve">in addition, </w:t>
      </w:r>
      <w:r w:rsidRPr="00E141AD">
        <w:rPr>
          <w:rFonts w:ascii="Times New Roman" w:hAnsi="Times New Roman" w:cs="Times New Roman"/>
          <w:sz w:val="24"/>
          <w:szCs w:val="24"/>
        </w:rPr>
        <w:t>it is recommended to seek ways to actively attract further foreign investors or set-up respective partnerships – be it formal venture capital companies or business angles;</w:t>
      </w:r>
    </w:p>
    <w:p w:rsidR="00E141AD" w:rsidRDefault="00993412"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141AD" w:rsidRPr="00E141AD">
        <w:rPr>
          <w:rFonts w:ascii="Times New Roman" w:hAnsi="Times New Roman" w:cs="Times New Roman"/>
          <w:sz w:val="24"/>
          <w:szCs w:val="24"/>
        </w:rPr>
        <w:t xml:space="preserve">he “good practice” example of the incubator established at the High-Tech Park, especially regarding the financing mechanisms of new ventures, should be </w:t>
      </w:r>
      <w:r w:rsidR="009C064D">
        <w:rPr>
          <w:rFonts w:ascii="Times New Roman" w:hAnsi="Times New Roman" w:cs="Times New Roman"/>
          <w:sz w:val="24"/>
          <w:szCs w:val="24"/>
        </w:rPr>
        <w:t xml:space="preserve">replicated in </w:t>
      </w:r>
      <w:r w:rsidR="00E141AD" w:rsidRPr="00E141AD">
        <w:rPr>
          <w:rFonts w:ascii="Times New Roman" w:hAnsi="Times New Roman" w:cs="Times New Roman"/>
          <w:sz w:val="24"/>
          <w:szCs w:val="24"/>
        </w:rPr>
        <w:t>other industries/technological fields;</w:t>
      </w:r>
    </w:p>
    <w:p w:rsidR="009C064D" w:rsidRPr="00E141AD" w:rsidRDefault="009C064D" w:rsidP="009C064D">
      <w:pPr>
        <w:pStyle w:val="ad"/>
        <w:spacing w:after="0" w:line="240" w:lineRule="auto"/>
        <w:ind w:left="770"/>
        <w:jc w:val="both"/>
        <w:rPr>
          <w:rFonts w:ascii="Times New Roman" w:hAnsi="Times New Roman" w:cs="Times New Roman"/>
          <w:sz w:val="24"/>
          <w:szCs w:val="24"/>
        </w:rPr>
      </w:pPr>
    </w:p>
    <w:p w:rsidR="00A13A0F" w:rsidRPr="009C064D" w:rsidRDefault="009C064D" w:rsidP="009C0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993412" w:rsidRPr="009C064D">
        <w:rPr>
          <w:rFonts w:ascii="Times New Roman" w:hAnsi="Times New Roman" w:cs="Times New Roman"/>
          <w:sz w:val="24"/>
          <w:szCs w:val="24"/>
        </w:rPr>
        <w:t xml:space="preserve">The Development Bank has recently been founded as a measure to </w:t>
      </w:r>
      <w:r w:rsidRPr="009C064D">
        <w:rPr>
          <w:rFonts w:ascii="Times New Roman" w:hAnsi="Times New Roman" w:cs="Times New Roman"/>
          <w:sz w:val="24"/>
          <w:szCs w:val="24"/>
        </w:rPr>
        <w:t xml:space="preserve">bolster </w:t>
      </w:r>
      <w:r w:rsidR="00993412" w:rsidRPr="009C064D">
        <w:rPr>
          <w:rFonts w:ascii="Times New Roman" w:hAnsi="Times New Roman" w:cs="Times New Roman"/>
          <w:sz w:val="24"/>
          <w:szCs w:val="24"/>
        </w:rPr>
        <w:t xml:space="preserve">the financial/banking sector in Belarus and to provide complementary innovation and SME related financing products.  </w:t>
      </w:r>
      <w:r>
        <w:rPr>
          <w:rFonts w:ascii="Times New Roman" w:hAnsi="Times New Roman" w:cs="Times New Roman"/>
          <w:sz w:val="24"/>
          <w:szCs w:val="24"/>
        </w:rPr>
        <w:t>It is recommended that i</w:t>
      </w:r>
      <w:r w:rsidR="00E141AD" w:rsidRPr="009C064D">
        <w:rPr>
          <w:rFonts w:ascii="Times New Roman" w:hAnsi="Times New Roman" w:cs="Times New Roman"/>
          <w:sz w:val="24"/>
          <w:szCs w:val="24"/>
        </w:rPr>
        <w:t xml:space="preserve">nnovation </w:t>
      </w:r>
      <w:r w:rsidR="00993412" w:rsidRPr="009C064D">
        <w:rPr>
          <w:rFonts w:ascii="Times New Roman" w:hAnsi="Times New Roman" w:cs="Times New Roman"/>
          <w:sz w:val="24"/>
          <w:szCs w:val="24"/>
        </w:rPr>
        <w:t xml:space="preserve">related loans by </w:t>
      </w:r>
      <w:r w:rsidR="00E141AD" w:rsidRPr="009C064D">
        <w:rPr>
          <w:rFonts w:ascii="Times New Roman" w:hAnsi="Times New Roman" w:cs="Times New Roman"/>
          <w:sz w:val="24"/>
          <w:szCs w:val="24"/>
        </w:rPr>
        <w:t xml:space="preserve">new Development Bank, particularly regarding the financing of SMEs and </w:t>
      </w:r>
      <w:r>
        <w:rPr>
          <w:rFonts w:ascii="Times New Roman" w:hAnsi="Times New Roman" w:cs="Times New Roman"/>
          <w:sz w:val="24"/>
          <w:szCs w:val="24"/>
        </w:rPr>
        <w:t>start-ups should be intensified</w:t>
      </w:r>
      <w:r w:rsidR="00E141AD" w:rsidRPr="009C064D">
        <w:rPr>
          <w:rFonts w:ascii="Times New Roman" w:hAnsi="Times New Roman" w:cs="Times New Roman"/>
          <w:sz w:val="24"/>
          <w:szCs w:val="24"/>
        </w:rPr>
        <w:t xml:space="preserve">.  </w:t>
      </w:r>
    </w:p>
    <w:p w:rsidR="00A13A0F" w:rsidRDefault="00A13A0F" w:rsidP="0068566D">
      <w:pPr>
        <w:spacing w:after="0" w:line="240" w:lineRule="auto"/>
        <w:jc w:val="both"/>
        <w:rPr>
          <w:rFonts w:ascii="Times New Roman" w:hAnsi="Times New Roman" w:cs="Times New Roman"/>
          <w:sz w:val="24"/>
          <w:szCs w:val="24"/>
        </w:rPr>
      </w:pPr>
    </w:p>
    <w:p w:rsidR="001304BD" w:rsidRPr="001304BD" w:rsidRDefault="001304BD" w:rsidP="00130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C064D">
        <w:rPr>
          <w:rFonts w:ascii="Times New Roman" w:hAnsi="Times New Roman" w:cs="Times New Roman"/>
          <w:sz w:val="24"/>
          <w:szCs w:val="24"/>
        </w:rPr>
        <w:t>9</w:t>
      </w:r>
      <w:r>
        <w:rPr>
          <w:rFonts w:ascii="Times New Roman" w:hAnsi="Times New Roman" w:cs="Times New Roman"/>
          <w:sz w:val="24"/>
          <w:szCs w:val="24"/>
        </w:rPr>
        <w:t xml:space="preserve"> </w:t>
      </w:r>
      <w:r w:rsidRPr="001304BD">
        <w:rPr>
          <w:rFonts w:ascii="Times New Roman" w:hAnsi="Times New Roman" w:cs="Times New Roman"/>
          <w:sz w:val="24"/>
          <w:szCs w:val="24"/>
        </w:rPr>
        <w:t xml:space="preserve">For a small economy like Belarus, the opening to foreign direct investments and good framework conditions for cross-border technology transfer (incl. sub-contracting within global value chains) are essential for increasing the innovative and technological level and ultimately the national competitiveness. To improve both the innovation potential inherent to foreign direct inflows and cross-border technology transfer, the following </w:t>
      </w:r>
      <w:r w:rsidR="009C064D">
        <w:rPr>
          <w:rFonts w:ascii="Times New Roman" w:hAnsi="Times New Roman" w:cs="Times New Roman"/>
          <w:sz w:val="24"/>
          <w:szCs w:val="24"/>
        </w:rPr>
        <w:t>is</w:t>
      </w:r>
      <w:r w:rsidRPr="001304BD">
        <w:rPr>
          <w:rFonts w:ascii="Times New Roman" w:hAnsi="Times New Roman" w:cs="Times New Roman"/>
          <w:sz w:val="24"/>
          <w:szCs w:val="24"/>
        </w:rPr>
        <w:t xml:space="preserve"> recommended: </w:t>
      </w:r>
    </w:p>
    <w:p w:rsidR="001304BD" w:rsidRPr="001304BD" w:rsidRDefault="001304BD" w:rsidP="001304BD">
      <w:pPr>
        <w:spacing w:after="0" w:line="240" w:lineRule="auto"/>
        <w:jc w:val="both"/>
        <w:rPr>
          <w:rFonts w:ascii="Times New Roman" w:hAnsi="Times New Roman" w:cs="Times New Roman"/>
          <w:sz w:val="24"/>
          <w:szCs w:val="24"/>
        </w:rPr>
      </w:pPr>
      <w:r w:rsidRPr="001304BD">
        <w:rPr>
          <w:rFonts w:ascii="Times New Roman" w:hAnsi="Times New Roman" w:cs="Times New Roman"/>
          <w:sz w:val="24"/>
          <w:szCs w:val="24"/>
        </w:rPr>
        <w:t xml:space="preserve">  </w:t>
      </w:r>
    </w:p>
    <w:p w:rsidR="001304BD" w:rsidRPr="001304BD" w:rsidRDefault="001304BD"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1304BD">
        <w:rPr>
          <w:rFonts w:ascii="Times New Roman" w:hAnsi="Times New Roman" w:cs="Times New Roman"/>
          <w:sz w:val="24"/>
          <w:szCs w:val="24"/>
        </w:rPr>
        <w:t>valuate the mechanisms of the National Agency of investment and Privatization concerning innovation-related and technological issues or science-intensive investments;</w:t>
      </w:r>
    </w:p>
    <w:p w:rsidR="001304BD" w:rsidRPr="001304BD" w:rsidRDefault="001304BD" w:rsidP="007D6F1B">
      <w:pPr>
        <w:pStyle w:val="ad"/>
        <w:numPr>
          <w:ilvl w:val="0"/>
          <w:numId w:val="5"/>
        </w:numPr>
        <w:spacing w:after="0" w:line="240" w:lineRule="auto"/>
        <w:jc w:val="both"/>
        <w:rPr>
          <w:rFonts w:ascii="Times New Roman" w:hAnsi="Times New Roman" w:cs="Times New Roman"/>
          <w:sz w:val="24"/>
          <w:szCs w:val="24"/>
        </w:rPr>
      </w:pPr>
      <w:r w:rsidRPr="001304BD">
        <w:rPr>
          <w:rFonts w:ascii="Times New Roman" w:hAnsi="Times New Roman" w:cs="Times New Roman"/>
          <w:sz w:val="24"/>
          <w:szCs w:val="24"/>
        </w:rPr>
        <w:t>Take necessary steps or instruments to improve international co-operation in technology-transfer activities, including the network approach of the Republican Centre for Technology Transfer, the members of foreign networks of Technology Centres and the institutions responsible for the participation in EU projects;</w:t>
      </w:r>
    </w:p>
    <w:p w:rsidR="001304BD" w:rsidRDefault="001304BD" w:rsidP="007D6F1B">
      <w:pPr>
        <w:pStyle w:val="ad"/>
        <w:numPr>
          <w:ilvl w:val="0"/>
          <w:numId w:val="5"/>
        </w:numPr>
        <w:spacing w:after="0" w:line="240" w:lineRule="auto"/>
        <w:jc w:val="both"/>
        <w:rPr>
          <w:rFonts w:ascii="Times New Roman" w:hAnsi="Times New Roman" w:cs="Times New Roman"/>
          <w:sz w:val="24"/>
          <w:szCs w:val="24"/>
        </w:rPr>
      </w:pPr>
      <w:r w:rsidRPr="001304BD">
        <w:rPr>
          <w:rFonts w:ascii="Times New Roman" w:hAnsi="Times New Roman" w:cs="Times New Roman"/>
          <w:sz w:val="24"/>
          <w:szCs w:val="24"/>
        </w:rPr>
        <w:lastRenderedPageBreak/>
        <w:t>Identify “good practice” examples with a view to a successful participation of Belarusian companies in global value chains or regarding the establishment of strategic partnerships with foreign technology oriented companies and identify the critical factors and implications for already implemented measures;</w:t>
      </w:r>
    </w:p>
    <w:p w:rsidR="001304BD" w:rsidRDefault="001304B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8C67F1">
        <w:rPr>
          <w:rFonts w:ascii="Times New Roman" w:hAnsi="Times New Roman" w:cs="Times New Roman"/>
          <w:sz w:val="24"/>
          <w:szCs w:val="24"/>
        </w:rPr>
        <w:t xml:space="preserve">The </w:t>
      </w:r>
      <w:r w:rsidR="008C67F1" w:rsidRPr="008C67F1">
        <w:rPr>
          <w:rFonts w:ascii="Times New Roman" w:hAnsi="Times New Roman" w:cs="Times New Roman"/>
          <w:sz w:val="24"/>
          <w:szCs w:val="24"/>
        </w:rPr>
        <w:t>National Statistical Committee</w:t>
      </w:r>
      <w:r w:rsidR="00CE5322">
        <w:rPr>
          <w:rFonts w:ascii="Times New Roman" w:hAnsi="Times New Roman" w:cs="Times New Roman"/>
          <w:sz w:val="24"/>
          <w:szCs w:val="24"/>
        </w:rPr>
        <w:t xml:space="preserve"> should work towards f</w:t>
      </w:r>
      <w:r>
        <w:rPr>
          <w:rFonts w:ascii="Times New Roman" w:hAnsi="Times New Roman" w:cs="Times New Roman"/>
          <w:sz w:val="24"/>
          <w:szCs w:val="24"/>
        </w:rPr>
        <w:t xml:space="preserve">ully </w:t>
      </w:r>
      <w:r w:rsidRPr="000656C3">
        <w:rPr>
          <w:rFonts w:ascii="Times New Roman" w:hAnsi="Times New Roman" w:cs="Times New Roman"/>
          <w:sz w:val="24"/>
          <w:szCs w:val="24"/>
        </w:rPr>
        <w:t>adopt</w:t>
      </w:r>
      <w:r w:rsidR="00CE5322">
        <w:rPr>
          <w:rFonts w:ascii="Times New Roman" w:hAnsi="Times New Roman" w:cs="Times New Roman"/>
          <w:sz w:val="24"/>
          <w:szCs w:val="24"/>
        </w:rPr>
        <w:t>ing</w:t>
      </w:r>
      <w:r w:rsidRPr="000656C3">
        <w:rPr>
          <w:rFonts w:ascii="Times New Roman" w:hAnsi="Times New Roman" w:cs="Times New Roman"/>
          <w:sz w:val="24"/>
          <w:szCs w:val="24"/>
        </w:rPr>
        <w:t xml:space="preserve"> </w:t>
      </w:r>
      <w:r w:rsidRPr="00803FFF">
        <w:rPr>
          <w:rFonts w:ascii="Times New Roman" w:hAnsi="Times New Roman" w:cs="Times New Roman"/>
          <w:sz w:val="24"/>
          <w:szCs w:val="24"/>
        </w:rPr>
        <w:t xml:space="preserve">best international </w:t>
      </w:r>
      <w:r>
        <w:rPr>
          <w:rFonts w:ascii="Times New Roman" w:hAnsi="Times New Roman" w:cs="Times New Roman"/>
          <w:sz w:val="24"/>
          <w:szCs w:val="24"/>
        </w:rPr>
        <w:t>standards in the collection of innovation statistics as reflected in</w:t>
      </w:r>
      <w:r w:rsidRPr="000656C3">
        <w:rPr>
          <w:rFonts w:ascii="Times New Roman" w:hAnsi="Times New Roman" w:cs="Times New Roman"/>
          <w:sz w:val="24"/>
          <w:szCs w:val="24"/>
        </w:rPr>
        <w:t xml:space="preserve"> Eurostat's CIS Harmonised survey questionnaire as practiced by Eurostat and the EU member states. </w:t>
      </w:r>
    </w:p>
    <w:p w:rsidR="0068566D"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803FFF">
        <w:rPr>
          <w:rFonts w:ascii="Times New Roman" w:hAnsi="Times New Roman" w:cs="Times New Roman"/>
          <w:sz w:val="24"/>
          <w:szCs w:val="24"/>
        </w:rPr>
        <w:t>Training of statisticians is crucial to improve the quality of data and indicators</w:t>
      </w:r>
      <w:r>
        <w:rPr>
          <w:rFonts w:ascii="Times New Roman" w:hAnsi="Times New Roman" w:cs="Times New Roman"/>
          <w:sz w:val="24"/>
          <w:szCs w:val="24"/>
        </w:rPr>
        <w:t xml:space="preserve">. </w:t>
      </w:r>
      <w:r w:rsidR="008C67F1" w:rsidRPr="008C67F1">
        <w:rPr>
          <w:rFonts w:ascii="Times New Roman" w:hAnsi="Times New Roman" w:cs="Times New Roman"/>
          <w:sz w:val="24"/>
          <w:szCs w:val="24"/>
        </w:rPr>
        <w:t xml:space="preserve">The National Statistical Committee </w:t>
      </w:r>
      <w:r w:rsidR="008C67F1">
        <w:rPr>
          <w:rFonts w:ascii="Times New Roman" w:hAnsi="Times New Roman" w:cs="Times New Roman"/>
          <w:sz w:val="24"/>
          <w:szCs w:val="24"/>
        </w:rPr>
        <w:t>should</w:t>
      </w:r>
      <w:r w:rsidRPr="00803FFF">
        <w:rPr>
          <w:rFonts w:ascii="Times New Roman" w:hAnsi="Times New Roman" w:cs="Times New Roman"/>
          <w:sz w:val="24"/>
          <w:szCs w:val="24"/>
        </w:rPr>
        <w:t xml:space="preserve"> </w:t>
      </w:r>
      <w:r w:rsidR="008C67F1">
        <w:rPr>
          <w:rFonts w:ascii="Times New Roman" w:hAnsi="Times New Roman" w:cs="Times New Roman"/>
          <w:sz w:val="24"/>
          <w:szCs w:val="24"/>
        </w:rPr>
        <w:t>c</w:t>
      </w:r>
      <w:r>
        <w:rPr>
          <w:rFonts w:ascii="Times New Roman" w:hAnsi="Times New Roman" w:cs="Times New Roman"/>
          <w:sz w:val="24"/>
          <w:szCs w:val="24"/>
        </w:rPr>
        <w:t xml:space="preserve">onsider seeking </w:t>
      </w:r>
      <w:r w:rsidRPr="000656C3">
        <w:rPr>
          <w:rFonts w:ascii="Times New Roman" w:hAnsi="Times New Roman" w:cs="Times New Roman"/>
          <w:sz w:val="24"/>
          <w:szCs w:val="24"/>
        </w:rPr>
        <w:t xml:space="preserve">technical cooperation support in introducing </w:t>
      </w:r>
      <w:r>
        <w:rPr>
          <w:rFonts w:ascii="Times New Roman" w:hAnsi="Times New Roman" w:cs="Times New Roman"/>
          <w:sz w:val="24"/>
          <w:szCs w:val="24"/>
        </w:rPr>
        <w:t xml:space="preserve">good practice, including through training activities with </w:t>
      </w:r>
      <w:r w:rsidRPr="000656C3">
        <w:rPr>
          <w:rFonts w:ascii="Times New Roman" w:hAnsi="Times New Roman" w:cs="Times New Roman"/>
          <w:sz w:val="24"/>
          <w:szCs w:val="24"/>
        </w:rPr>
        <w:t>UNECE Statistical Division</w:t>
      </w:r>
      <w:r>
        <w:rPr>
          <w:rFonts w:ascii="Times New Roman" w:hAnsi="Times New Roman" w:cs="Times New Roman"/>
          <w:sz w:val="24"/>
          <w:szCs w:val="24"/>
        </w:rPr>
        <w:t>, Eurostat</w:t>
      </w:r>
      <w:r>
        <w:t xml:space="preserve">, </w:t>
      </w:r>
      <w:r>
        <w:rPr>
          <w:rFonts w:ascii="Times New Roman" w:hAnsi="Times New Roman" w:cs="Times New Roman"/>
          <w:sz w:val="24"/>
          <w:szCs w:val="24"/>
        </w:rPr>
        <w:t>OECD and/</w:t>
      </w:r>
      <w:r w:rsidRPr="001D58BD">
        <w:rPr>
          <w:rFonts w:ascii="Times New Roman" w:hAnsi="Times New Roman" w:cs="Times New Roman"/>
          <w:sz w:val="24"/>
          <w:szCs w:val="24"/>
        </w:rPr>
        <w:t>or UNESCO statistical office</w:t>
      </w:r>
      <w:r>
        <w:rPr>
          <w:rFonts w:ascii="Times New Roman" w:hAnsi="Times New Roman" w:cs="Times New Roman"/>
          <w:sz w:val="24"/>
          <w:szCs w:val="24"/>
        </w:rPr>
        <w:t xml:space="preserve"> as well as with the </w:t>
      </w:r>
      <w:r w:rsidRPr="000656C3">
        <w:rPr>
          <w:rFonts w:ascii="Times New Roman" w:hAnsi="Times New Roman" w:cs="Times New Roman"/>
          <w:sz w:val="24"/>
          <w:szCs w:val="24"/>
        </w:rPr>
        <w:t>participation of international expert</w:t>
      </w:r>
      <w:r>
        <w:rPr>
          <w:rFonts w:ascii="Times New Roman" w:hAnsi="Times New Roman" w:cs="Times New Roman"/>
          <w:sz w:val="24"/>
          <w:szCs w:val="24"/>
        </w:rPr>
        <w:t>s</w:t>
      </w:r>
      <w:r w:rsidRPr="000656C3">
        <w:rPr>
          <w:rFonts w:ascii="Times New Roman" w:hAnsi="Times New Roman" w:cs="Times New Roman"/>
          <w:sz w:val="24"/>
          <w:szCs w:val="24"/>
        </w:rPr>
        <w:t xml:space="preserve"> </w:t>
      </w:r>
      <w:r>
        <w:rPr>
          <w:rFonts w:ascii="Times New Roman" w:hAnsi="Times New Roman" w:cs="Times New Roman"/>
          <w:sz w:val="24"/>
          <w:szCs w:val="24"/>
        </w:rPr>
        <w:t xml:space="preserve">with knowledge of </w:t>
      </w:r>
      <w:r w:rsidRPr="000656C3">
        <w:rPr>
          <w:rFonts w:ascii="Times New Roman" w:hAnsi="Times New Roman" w:cs="Times New Roman"/>
          <w:sz w:val="24"/>
          <w:szCs w:val="24"/>
        </w:rPr>
        <w:t>CIS</w:t>
      </w:r>
      <w:r>
        <w:rPr>
          <w:rFonts w:ascii="Times New Roman" w:hAnsi="Times New Roman" w:cs="Times New Roman"/>
          <w:sz w:val="24"/>
          <w:szCs w:val="24"/>
        </w:rPr>
        <w:t xml:space="preserve"> economies.  </w:t>
      </w:r>
    </w:p>
    <w:p w:rsidR="0068566D" w:rsidRDefault="0068566D" w:rsidP="0068566D">
      <w:pPr>
        <w:spacing w:after="0" w:line="240" w:lineRule="auto"/>
        <w:jc w:val="both"/>
        <w:rPr>
          <w:rFonts w:ascii="Times New Roman" w:hAnsi="Times New Roman" w:cs="Times New Roman"/>
          <w:sz w:val="24"/>
          <w:szCs w:val="24"/>
        </w:rPr>
      </w:pPr>
    </w:p>
    <w:p w:rsidR="0068566D" w:rsidRPr="000656C3"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1D58BD">
        <w:rPr>
          <w:rFonts w:ascii="Times New Roman" w:hAnsi="Times New Roman" w:cs="Times New Roman"/>
          <w:sz w:val="24"/>
          <w:szCs w:val="24"/>
        </w:rPr>
        <w:t xml:space="preserve">If the surveyed organisations are not familiar with the terms and logic of questionnaire they will not provide good data. </w:t>
      </w:r>
      <w:r>
        <w:rPr>
          <w:rFonts w:ascii="Times New Roman" w:hAnsi="Times New Roman" w:cs="Times New Roman"/>
          <w:sz w:val="24"/>
          <w:szCs w:val="24"/>
        </w:rPr>
        <w:t>Consider extending the training activities beyond the</w:t>
      </w:r>
      <w:r w:rsidRPr="00803FFF">
        <w:t xml:space="preserve"> </w:t>
      </w:r>
      <w:r w:rsidRPr="00803FFF">
        <w:rPr>
          <w:rFonts w:ascii="Times New Roman" w:hAnsi="Times New Roman" w:cs="Times New Roman"/>
          <w:sz w:val="24"/>
          <w:szCs w:val="24"/>
        </w:rPr>
        <w:t>National Statistical Committee</w:t>
      </w:r>
      <w:r>
        <w:rPr>
          <w:rFonts w:ascii="Times New Roman" w:hAnsi="Times New Roman" w:cs="Times New Roman"/>
          <w:sz w:val="24"/>
          <w:szCs w:val="24"/>
        </w:rPr>
        <w:t xml:space="preserve"> to include also </w:t>
      </w:r>
      <w:r w:rsidRPr="00803FFF">
        <w:rPr>
          <w:rFonts w:ascii="Times New Roman" w:hAnsi="Times New Roman" w:cs="Times New Roman"/>
          <w:sz w:val="24"/>
          <w:szCs w:val="24"/>
        </w:rPr>
        <w:t>surveyed organisations and potential users to understand better the logic of innovation survey and its indicators.</w:t>
      </w:r>
    </w:p>
    <w:p w:rsidR="0068566D" w:rsidRPr="000656C3" w:rsidRDefault="0068566D" w:rsidP="0068566D">
      <w:pPr>
        <w:spacing w:after="0" w:line="240" w:lineRule="auto"/>
        <w:jc w:val="both"/>
        <w:rPr>
          <w:rFonts w:ascii="Times New Roman" w:hAnsi="Times New Roman" w:cs="Times New Roman"/>
          <w:sz w:val="24"/>
          <w:szCs w:val="24"/>
        </w:rPr>
      </w:pPr>
    </w:p>
    <w:p w:rsidR="0068566D" w:rsidRDefault="0068566D" w:rsidP="00685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8C67F1">
        <w:rPr>
          <w:rFonts w:ascii="Times New Roman" w:hAnsi="Times New Roman" w:cs="Times New Roman"/>
          <w:sz w:val="24"/>
          <w:szCs w:val="24"/>
        </w:rPr>
        <w:t xml:space="preserve">The </w:t>
      </w:r>
      <w:r w:rsidR="008C67F1" w:rsidRPr="008C67F1">
        <w:rPr>
          <w:rFonts w:ascii="Times New Roman" w:hAnsi="Times New Roman" w:cs="Times New Roman"/>
          <w:sz w:val="24"/>
          <w:szCs w:val="24"/>
        </w:rPr>
        <w:t>National Statistical Committee</w:t>
      </w:r>
      <w:r w:rsidR="008C67F1">
        <w:rPr>
          <w:rFonts w:ascii="Times New Roman" w:hAnsi="Times New Roman" w:cs="Times New Roman"/>
          <w:sz w:val="24"/>
          <w:szCs w:val="24"/>
        </w:rPr>
        <w:t xml:space="preserve"> should consider</w:t>
      </w:r>
      <w:r w:rsidR="008C67F1" w:rsidRPr="008C67F1">
        <w:rPr>
          <w:rFonts w:ascii="Times New Roman" w:hAnsi="Times New Roman" w:cs="Times New Roman"/>
          <w:sz w:val="24"/>
          <w:szCs w:val="24"/>
        </w:rPr>
        <w:t xml:space="preserve"> </w:t>
      </w:r>
      <w:r w:rsidR="008C67F1">
        <w:rPr>
          <w:rFonts w:ascii="Times New Roman" w:hAnsi="Times New Roman" w:cs="Times New Roman"/>
          <w:sz w:val="24"/>
          <w:szCs w:val="24"/>
        </w:rPr>
        <w:t>w</w:t>
      </w:r>
      <w:r w:rsidRPr="000656C3">
        <w:rPr>
          <w:rFonts w:ascii="Times New Roman" w:hAnsi="Times New Roman" w:cs="Times New Roman"/>
          <w:sz w:val="24"/>
          <w:szCs w:val="24"/>
        </w:rPr>
        <w:t>iden</w:t>
      </w:r>
      <w:r w:rsidR="008C67F1">
        <w:rPr>
          <w:rFonts w:ascii="Times New Roman" w:hAnsi="Times New Roman" w:cs="Times New Roman"/>
          <w:sz w:val="24"/>
          <w:szCs w:val="24"/>
        </w:rPr>
        <w:t>ing</w:t>
      </w:r>
      <w:r w:rsidRPr="000656C3">
        <w:rPr>
          <w:rFonts w:ascii="Times New Roman" w:hAnsi="Times New Roman" w:cs="Times New Roman"/>
          <w:sz w:val="24"/>
          <w:szCs w:val="24"/>
        </w:rPr>
        <w:t xml:space="preserve"> the scope</w:t>
      </w:r>
      <w:r>
        <w:rPr>
          <w:rFonts w:ascii="Times New Roman" w:hAnsi="Times New Roman" w:cs="Times New Roman"/>
          <w:sz w:val="24"/>
          <w:szCs w:val="24"/>
        </w:rPr>
        <w:t xml:space="preserve"> and coverage</w:t>
      </w:r>
      <w:r w:rsidRPr="000656C3">
        <w:rPr>
          <w:rFonts w:ascii="Times New Roman" w:hAnsi="Times New Roman" w:cs="Times New Roman"/>
          <w:sz w:val="24"/>
          <w:szCs w:val="24"/>
        </w:rPr>
        <w:t xml:space="preserve"> of the innovation survey</w:t>
      </w:r>
      <w:r>
        <w:rPr>
          <w:rFonts w:ascii="Times New Roman" w:hAnsi="Times New Roman" w:cs="Times New Roman"/>
          <w:sz w:val="24"/>
          <w:szCs w:val="24"/>
        </w:rPr>
        <w:t>s</w:t>
      </w:r>
      <w:r w:rsidRPr="000656C3">
        <w:rPr>
          <w:rFonts w:ascii="Times New Roman" w:hAnsi="Times New Roman" w:cs="Times New Roman"/>
          <w:sz w:val="24"/>
          <w:szCs w:val="24"/>
        </w:rPr>
        <w:t xml:space="preserve"> in line with international best practice</w:t>
      </w:r>
      <w:r>
        <w:rPr>
          <w:rFonts w:ascii="Times New Roman" w:hAnsi="Times New Roman" w:cs="Times New Roman"/>
          <w:sz w:val="24"/>
          <w:szCs w:val="24"/>
        </w:rPr>
        <w:t>:</w:t>
      </w:r>
    </w:p>
    <w:p w:rsidR="000505EB" w:rsidRDefault="000505EB" w:rsidP="0068566D">
      <w:pPr>
        <w:spacing w:after="0" w:line="240" w:lineRule="auto"/>
        <w:jc w:val="both"/>
        <w:rPr>
          <w:rFonts w:ascii="Times New Roman" w:hAnsi="Times New Roman" w:cs="Times New Roman"/>
          <w:sz w:val="24"/>
          <w:szCs w:val="24"/>
        </w:rPr>
      </w:pPr>
    </w:p>
    <w:p w:rsidR="0068566D" w:rsidRDefault="0068566D" w:rsidP="007D6F1B">
      <w:pPr>
        <w:pStyle w:val="ad"/>
        <w:numPr>
          <w:ilvl w:val="0"/>
          <w:numId w:val="5"/>
        </w:numPr>
        <w:spacing w:after="0" w:line="240" w:lineRule="auto"/>
        <w:jc w:val="both"/>
        <w:rPr>
          <w:rFonts w:ascii="Times New Roman" w:hAnsi="Times New Roman" w:cs="Times New Roman"/>
          <w:sz w:val="24"/>
          <w:szCs w:val="24"/>
        </w:rPr>
      </w:pPr>
      <w:r w:rsidRPr="0046504F">
        <w:rPr>
          <w:rFonts w:ascii="Times New Roman" w:hAnsi="Times New Roman" w:cs="Times New Roman"/>
          <w:sz w:val="24"/>
          <w:szCs w:val="24"/>
        </w:rPr>
        <w:t>The next innovation surveys should consider a broader population of enterprises and the questionnaire should also focus on non-technological innovations.</w:t>
      </w:r>
    </w:p>
    <w:p w:rsidR="0068566D" w:rsidRDefault="0068566D"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46504F">
        <w:rPr>
          <w:rFonts w:ascii="Times New Roman" w:hAnsi="Times New Roman" w:cs="Times New Roman"/>
          <w:sz w:val="24"/>
          <w:szCs w:val="24"/>
        </w:rPr>
        <w:t xml:space="preserve">ore small firms should be included in the targeted population of the innovation survey. </w:t>
      </w:r>
    </w:p>
    <w:p w:rsidR="0068566D" w:rsidRDefault="0068566D"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6504F">
        <w:rPr>
          <w:rFonts w:ascii="Times New Roman" w:hAnsi="Times New Roman" w:cs="Times New Roman"/>
          <w:sz w:val="24"/>
          <w:szCs w:val="24"/>
        </w:rPr>
        <w:t xml:space="preserve"> more intensive use of the available data to serve the preparation of more indicators (including disaggregation of available information and providing more user-friendly presentations of survey information).</w:t>
      </w:r>
    </w:p>
    <w:p w:rsidR="0068566D" w:rsidRDefault="0068566D"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 involving other stakeholders from civil society and the preparation of innovation statistics. For instance, during recent years</w:t>
      </w:r>
      <w:r w:rsidRPr="0046504F">
        <w:rPr>
          <w:rFonts w:ascii="Times New Roman" w:hAnsi="Times New Roman" w:cs="Times New Roman"/>
          <w:sz w:val="24"/>
          <w:szCs w:val="24"/>
        </w:rPr>
        <w:t xml:space="preserve"> </w:t>
      </w:r>
      <w:r>
        <w:rPr>
          <w:rFonts w:ascii="Times New Roman" w:hAnsi="Times New Roman" w:cs="Times New Roman"/>
          <w:sz w:val="24"/>
          <w:szCs w:val="24"/>
        </w:rPr>
        <w:t>the</w:t>
      </w:r>
      <w:r w:rsidRPr="0046504F">
        <w:rPr>
          <w:rFonts w:ascii="Times New Roman" w:hAnsi="Times New Roman" w:cs="Times New Roman"/>
          <w:sz w:val="24"/>
          <w:szCs w:val="24"/>
        </w:rPr>
        <w:t xml:space="preserve"> </w:t>
      </w:r>
      <w:r>
        <w:rPr>
          <w:rFonts w:ascii="Times New Roman" w:hAnsi="Times New Roman" w:cs="Times New Roman"/>
          <w:sz w:val="24"/>
          <w:szCs w:val="24"/>
        </w:rPr>
        <w:t xml:space="preserve">European Union </w:t>
      </w:r>
      <w:r w:rsidRPr="0046504F">
        <w:rPr>
          <w:rFonts w:ascii="Times New Roman" w:hAnsi="Times New Roman" w:cs="Times New Roman"/>
          <w:sz w:val="24"/>
          <w:szCs w:val="24"/>
        </w:rPr>
        <w:t>developed a pilot databank (ETER) for benchmarking</w:t>
      </w:r>
      <w:r>
        <w:rPr>
          <w:rFonts w:ascii="Times New Roman" w:hAnsi="Times New Roman" w:cs="Times New Roman"/>
          <w:sz w:val="24"/>
          <w:szCs w:val="24"/>
        </w:rPr>
        <w:t xml:space="preserve"> education </w:t>
      </w:r>
      <w:r w:rsidR="00425B1C">
        <w:rPr>
          <w:rFonts w:ascii="Times New Roman" w:hAnsi="Times New Roman" w:cs="Times New Roman"/>
          <w:sz w:val="24"/>
          <w:szCs w:val="24"/>
        </w:rPr>
        <w:t>institutions</w:t>
      </w:r>
      <w:r>
        <w:rPr>
          <w:rFonts w:ascii="Times New Roman" w:hAnsi="Times New Roman" w:cs="Times New Roman"/>
          <w:sz w:val="24"/>
          <w:szCs w:val="24"/>
        </w:rPr>
        <w:t xml:space="preserve">, which </w:t>
      </w:r>
      <w:r w:rsidRPr="0046504F">
        <w:rPr>
          <w:rFonts w:ascii="Times New Roman" w:hAnsi="Times New Roman" w:cs="Times New Roman"/>
          <w:sz w:val="24"/>
          <w:szCs w:val="24"/>
        </w:rPr>
        <w:t xml:space="preserve">is a typical field where statistical offices and non-governmental organisations </w:t>
      </w:r>
      <w:r>
        <w:rPr>
          <w:rFonts w:ascii="Times New Roman" w:hAnsi="Times New Roman" w:cs="Times New Roman"/>
          <w:sz w:val="24"/>
          <w:szCs w:val="24"/>
        </w:rPr>
        <w:t>can</w:t>
      </w:r>
      <w:r w:rsidRPr="0046504F">
        <w:rPr>
          <w:rFonts w:ascii="Times New Roman" w:hAnsi="Times New Roman" w:cs="Times New Roman"/>
          <w:sz w:val="24"/>
          <w:szCs w:val="24"/>
        </w:rPr>
        <w:t xml:space="preserve"> collaborat</w:t>
      </w:r>
      <w:r>
        <w:rPr>
          <w:rFonts w:ascii="Times New Roman" w:hAnsi="Times New Roman" w:cs="Times New Roman"/>
          <w:sz w:val="24"/>
          <w:szCs w:val="24"/>
        </w:rPr>
        <w:t>e further.</w:t>
      </w:r>
    </w:p>
    <w:p w:rsidR="00241F35" w:rsidRPr="0046504F" w:rsidRDefault="00241F35" w:rsidP="00241F35">
      <w:pPr>
        <w:pStyle w:val="ad"/>
        <w:spacing w:after="0" w:line="240" w:lineRule="auto"/>
        <w:ind w:left="770"/>
        <w:jc w:val="both"/>
        <w:rPr>
          <w:rFonts w:ascii="Times New Roman" w:hAnsi="Times New Roman" w:cs="Times New Roman"/>
          <w:sz w:val="24"/>
          <w:szCs w:val="24"/>
        </w:rPr>
      </w:pPr>
    </w:p>
    <w:p w:rsidR="006E02AF" w:rsidRDefault="000505EB" w:rsidP="00050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With regards to improving the country’s ranking position in innovation performance indexes, it should be </w:t>
      </w:r>
      <w:r w:rsidR="00D5272D">
        <w:rPr>
          <w:rFonts w:ascii="Times New Roman" w:hAnsi="Times New Roman" w:cs="Times New Roman"/>
          <w:sz w:val="24"/>
          <w:szCs w:val="24"/>
        </w:rPr>
        <w:t>acknowledged</w:t>
      </w:r>
      <w:r>
        <w:rPr>
          <w:rFonts w:ascii="Times New Roman" w:hAnsi="Times New Roman" w:cs="Times New Roman"/>
          <w:sz w:val="24"/>
          <w:szCs w:val="24"/>
        </w:rPr>
        <w:t xml:space="preserve"> that th</w:t>
      </w:r>
      <w:r w:rsidRPr="000505EB">
        <w:rPr>
          <w:rFonts w:ascii="Times New Roman" w:hAnsi="Times New Roman" w:cs="Times New Roman"/>
          <w:sz w:val="24"/>
          <w:szCs w:val="24"/>
        </w:rPr>
        <w:t>e link between the individual indicator and the overall innovation objective is very often vague</w:t>
      </w:r>
      <w:r>
        <w:rPr>
          <w:rFonts w:ascii="Times New Roman" w:hAnsi="Times New Roman" w:cs="Times New Roman"/>
          <w:sz w:val="24"/>
          <w:szCs w:val="24"/>
        </w:rPr>
        <w:t xml:space="preserve"> and</w:t>
      </w:r>
      <w:r w:rsidRPr="000505EB">
        <w:rPr>
          <w:rFonts w:ascii="Times New Roman" w:hAnsi="Times New Roman" w:cs="Times New Roman"/>
          <w:sz w:val="24"/>
          <w:szCs w:val="24"/>
        </w:rPr>
        <w:t xml:space="preserve"> mediated through a variety of other factors.</w:t>
      </w:r>
      <w:r>
        <w:rPr>
          <w:rFonts w:ascii="Times New Roman" w:hAnsi="Times New Roman" w:cs="Times New Roman"/>
          <w:sz w:val="24"/>
          <w:szCs w:val="24"/>
        </w:rPr>
        <w:t xml:space="preserve"> Also, indicators are only a proxy of deeper, more complex, social realities. Thus, </w:t>
      </w:r>
      <w:r w:rsidR="008C67F1">
        <w:rPr>
          <w:rFonts w:ascii="Times New Roman" w:hAnsi="Times New Roman" w:cs="Times New Roman"/>
          <w:sz w:val="24"/>
          <w:szCs w:val="24"/>
        </w:rPr>
        <w:t xml:space="preserve">at the time of designing national strategies and programmes </w:t>
      </w:r>
      <w:r>
        <w:rPr>
          <w:rFonts w:ascii="Times New Roman" w:hAnsi="Times New Roman" w:cs="Times New Roman"/>
          <w:sz w:val="24"/>
          <w:szCs w:val="24"/>
        </w:rPr>
        <w:t>there is no need for</w:t>
      </w:r>
      <w:r w:rsidR="008C67F1">
        <w:rPr>
          <w:rFonts w:ascii="Times New Roman" w:hAnsi="Times New Roman" w:cs="Times New Roman"/>
          <w:sz w:val="24"/>
          <w:szCs w:val="24"/>
        </w:rPr>
        <w:t xml:space="preserve"> Government bodies to</w:t>
      </w:r>
      <w:r>
        <w:rPr>
          <w:rFonts w:ascii="Times New Roman" w:hAnsi="Times New Roman" w:cs="Times New Roman"/>
          <w:sz w:val="24"/>
          <w:szCs w:val="24"/>
        </w:rPr>
        <w:t xml:space="preserve"> </w:t>
      </w:r>
      <w:r w:rsidRPr="000505EB">
        <w:rPr>
          <w:rFonts w:ascii="Times New Roman" w:hAnsi="Times New Roman" w:cs="Times New Roman"/>
          <w:sz w:val="24"/>
          <w:szCs w:val="24"/>
        </w:rPr>
        <w:t>target individual specific indicators with the aim to improve the overall ranking on a specific international index</w:t>
      </w:r>
      <w:r>
        <w:rPr>
          <w:rFonts w:ascii="Times New Roman" w:hAnsi="Times New Roman" w:cs="Times New Roman"/>
          <w:sz w:val="24"/>
          <w:szCs w:val="24"/>
        </w:rPr>
        <w:t xml:space="preserve">. Even if it is of </w:t>
      </w:r>
      <w:r w:rsidRPr="000505EB">
        <w:rPr>
          <w:rFonts w:ascii="Times New Roman" w:hAnsi="Times New Roman" w:cs="Times New Roman"/>
          <w:sz w:val="24"/>
          <w:szCs w:val="24"/>
        </w:rPr>
        <w:t>utmost importance that Belarus benchmark itself internationally in as many as possible international rankings</w:t>
      </w:r>
      <w:r>
        <w:rPr>
          <w:rFonts w:ascii="Times New Roman" w:hAnsi="Times New Roman" w:cs="Times New Roman"/>
          <w:sz w:val="24"/>
          <w:szCs w:val="24"/>
        </w:rPr>
        <w:t xml:space="preserve">, it </w:t>
      </w:r>
      <w:r w:rsidRPr="000505EB">
        <w:rPr>
          <w:rFonts w:ascii="Times New Roman" w:hAnsi="Times New Roman" w:cs="Times New Roman"/>
          <w:sz w:val="24"/>
          <w:szCs w:val="24"/>
        </w:rPr>
        <w:t>should be done with the aim to understand better issues and challenges rather than reducing policies on achieving target levels of specific indicators. Indicators should inform policy, but only rarely they should become policy target.</w:t>
      </w:r>
    </w:p>
    <w:p w:rsidR="00A00A18" w:rsidRDefault="00A00A18" w:rsidP="000505EB">
      <w:pPr>
        <w:spacing w:after="0" w:line="240" w:lineRule="auto"/>
        <w:jc w:val="both"/>
        <w:rPr>
          <w:rFonts w:ascii="Times New Roman" w:hAnsi="Times New Roman" w:cs="Times New Roman"/>
          <w:sz w:val="24"/>
          <w:szCs w:val="24"/>
        </w:rPr>
      </w:pPr>
    </w:p>
    <w:p w:rsidR="007A25A3" w:rsidRDefault="00571285" w:rsidP="007A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7A25A3" w:rsidRPr="007A25A3">
        <w:rPr>
          <w:rFonts w:ascii="Times New Roman" w:hAnsi="Times New Roman" w:cs="Times New Roman"/>
          <w:sz w:val="24"/>
          <w:szCs w:val="24"/>
        </w:rPr>
        <w:t>.</w:t>
      </w:r>
      <w:r w:rsidR="007A25A3" w:rsidRPr="007A25A3">
        <w:rPr>
          <w:rFonts w:ascii="Times New Roman" w:hAnsi="Times New Roman" w:cs="Times New Roman"/>
          <w:sz w:val="24"/>
          <w:szCs w:val="24"/>
        </w:rPr>
        <w:tab/>
      </w:r>
      <w:r w:rsidR="007A25A3" w:rsidRPr="00107887">
        <w:rPr>
          <w:rFonts w:ascii="Times New Roman" w:hAnsi="Times New Roman" w:cs="Times New Roman"/>
          <w:i/>
          <w:sz w:val="24"/>
          <w:szCs w:val="24"/>
        </w:rPr>
        <w:t>Risk-sharing</w:t>
      </w:r>
      <w:r w:rsidR="00107887">
        <w:rPr>
          <w:rFonts w:ascii="Times New Roman" w:hAnsi="Times New Roman" w:cs="Times New Roman"/>
          <w:sz w:val="24"/>
          <w:szCs w:val="24"/>
        </w:rPr>
        <w:t xml:space="preserve">. Risk sharing </w:t>
      </w:r>
      <w:r w:rsidR="007A25A3" w:rsidRPr="007A25A3">
        <w:rPr>
          <w:rFonts w:ascii="Times New Roman" w:hAnsi="Times New Roman" w:cs="Times New Roman"/>
          <w:sz w:val="24"/>
          <w:szCs w:val="24"/>
        </w:rPr>
        <w:t xml:space="preserve">is always important between business organisations (including private organisations) and other actors in the field of business R&amp;D and </w:t>
      </w:r>
      <w:r w:rsidR="007A25A3" w:rsidRPr="007A25A3">
        <w:rPr>
          <w:rFonts w:ascii="Times New Roman" w:hAnsi="Times New Roman" w:cs="Times New Roman"/>
          <w:sz w:val="24"/>
          <w:szCs w:val="24"/>
        </w:rPr>
        <w:lastRenderedPageBreak/>
        <w:t xml:space="preserve">innovation.  Naturally R&amp;D-based innovations are more risky than others. Public resources have a distinguished role to encourage innovation through taking on the risky costs. Beyond the public sector some other actors may play a role in funding RDI such as venture capitalists or business angels. </w:t>
      </w:r>
      <w:r>
        <w:rPr>
          <w:rFonts w:ascii="Times New Roman" w:hAnsi="Times New Roman" w:cs="Times New Roman"/>
          <w:sz w:val="24"/>
          <w:szCs w:val="24"/>
        </w:rPr>
        <w:t>Because in</w:t>
      </w:r>
      <w:r w:rsidR="007A25A3" w:rsidRPr="007A25A3">
        <w:rPr>
          <w:rFonts w:ascii="Times New Roman" w:hAnsi="Times New Roman" w:cs="Times New Roman"/>
          <w:sz w:val="24"/>
          <w:szCs w:val="24"/>
        </w:rPr>
        <w:t xml:space="preserve"> Belarus and </w:t>
      </w:r>
      <w:r>
        <w:rPr>
          <w:rFonts w:ascii="Times New Roman" w:hAnsi="Times New Roman" w:cs="Times New Roman"/>
          <w:sz w:val="24"/>
          <w:szCs w:val="24"/>
        </w:rPr>
        <w:t xml:space="preserve">the </w:t>
      </w:r>
      <w:r w:rsidR="007A25A3" w:rsidRPr="007A25A3">
        <w:rPr>
          <w:rFonts w:ascii="Times New Roman" w:hAnsi="Times New Roman" w:cs="Times New Roman"/>
          <w:sz w:val="24"/>
          <w:szCs w:val="24"/>
        </w:rPr>
        <w:t>latter actors are in practice missing</w:t>
      </w:r>
      <w:r>
        <w:rPr>
          <w:rFonts w:ascii="Times New Roman" w:hAnsi="Times New Roman" w:cs="Times New Roman"/>
          <w:sz w:val="24"/>
          <w:szCs w:val="24"/>
        </w:rPr>
        <w:t>, t</w:t>
      </w:r>
      <w:r w:rsidR="007A25A3" w:rsidRPr="007A25A3">
        <w:rPr>
          <w:rFonts w:ascii="Times New Roman" w:hAnsi="Times New Roman" w:cs="Times New Roman"/>
          <w:sz w:val="24"/>
          <w:szCs w:val="24"/>
        </w:rPr>
        <w:t>he state has to create better conditions for financing risky RDI activities and start-ups</w:t>
      </w:r>
      <w:r>
        <w:rPr>
          <w:rFonts w:ascii="Times New Roman" w:hAnsi="Times New Roman" w:cs="Times New Roman"/>
          <w:sz w:val="24"/>
          <w:szCs w:val="24"/>
        </w:rPr>
        <w:t>. The following is recommended to improve risk sharing between firms and Government:</w:t>
      </w:r>
      <w:r w:rsidR="007A25A3" w:rsidRPr="007A25A3">
        <w:rPr>
          <w:rFonts w:ascii="Times New Roman" w:hAnsi="Times New Roman" w:cs="Times New Roman"/>
          <w:sz w:val="24"/>
          <w:szCs w:val="24"/>
        </w:rPr>
        <w:t xml:space="preserve">  </w:t>
      </w:r>
    </w:p>
    <w:p w:rsidR="00463780" w:rsidRPr="007A25A3" w:rsidRDefault="00463780" w:rsidP="007A25A3">
      <w:pPr>
        <w:spacing w:after="0" w:line="240" w:lineRule="auto"/>
        <w:jc w:val="both"/>
        <w:rPr>
          <w:rFonts w:ascii="Times New Roman" w:hAnsi="Times New Roman" w:cs="Times New Roman"/>
          <w:sz w:val="24"/>
          <w:szCs w:val="24"/>
        </w:rPr>
      </w:pPr>
    </w:p>
    <w:p w:rsidR="007A25A3" w:rsidRPr="007A25A3" w:rsidRDefault="007A25A3" w:rsidP="007D6F1B">
      <w:pPr>
        <w:pStyle w:val="ad"/>
        <w:numPr>
          <w:ilvl w:val="0"/>
          <w:numId w:val="5"/>
        </w:numPr>
        <w:spacing w:after="0" w:line="240" w:lineRule="auto"/>
        <w:jc w:val="both"/>
        <w:rPr>
          <w:rFonts w:ascii="Times New Roman" w:hAnsi="Times New Roman" w:cs="Times New Roman"/>
          <w:sz w:val="24"/>
          <w:szCs w:val="24"/>
        </w:rPr>
      </w:pPr>
      <w:r w:rsidRPr="007A25A3">
        <w:rPr>
          <w:rFonts w:ascii="Times New Roman" w:hAnsi="Times New Roman" w:cs="Times New Roman"/>
          <w:sz w:val="24"/>
          <w:szCs w:val="24"/>
        </w:rPr>
        <w:t xml:space="preserve">The </w:t>
      </w:r>
      <w:r w:rsidR="00461FA0">
        <w:rPr>
          <w:rFonts w:ascii="Times New Roman" w:hAnsi="Times New Roman" w:cs="Times New Roman"/>
          <w:sz w:val="24"/>
          <w:szCs w:val="24"/>
        </w:rPr>
        <w:t>SCST and other bodies</w:t>
      </w:r>
      <w:r w:rsidR="00461FA0" w:rsidRPr="007A25A3">
        <w:rPr>
          <w:rFonts w:ascii="Times New Roman" w:hAnsi="Times New Roman" w:cs="Times New Roman"/>
          <w:sz w:val="24"/>
          <w:szCs w:val="24"/>
        </w:rPr>
        <w:t xml:space="preserve"> </w:t>
      </w:r>
      <w:r w:rsidRPr="007A25A3">
        <w:rPr>
          <w:rFonts w:ascii="Times New Roman" w:hAnsi="Times New Roman" w:cs="Times New Roman"/>
          <w:sz w:val="24"/>
          <w:szCs w:val="24"/>
        </w:rPr>
        <w:t>should b</w:t>
      </w:r>
      <w:r w:rsidR="00571285">
        <w:rPr>
          <w:rFonts w:ascii="Times New Roman" w:hAnsi="Times New Roman" w:cs="Times New Roman"/>
          <w:sz w:val="24"/>
          <w:szCs w:val="24"/>
        </w:rPr>
        <w:t>e</w:t>
      </w:r>
      <w:r w:rsidRPr="007A25A3">
        <w:rPr>
          <w:rFonts w:ascii="Times New Roman" w:hAnsi="Times New Roman" w:cs="Times New Roman"/>
          <w:sz w:val="24"/>
          <w:szCs w:val="24"/>
        </w:rPr>
        <w:t xml:space="preserve"> investing in expensive risky innovation from public funds</w:t>
      </w:r>
      <w:r w:rsidR="00571285">
        <w:rPr>
          <w:rFonts w:ascii="Times New Roman" w:hAnsi="Times New Roman" w:cs="Times New Roman"/>
          <w:sz w:val="24"/>
          <w:szCs w:val="24"/>
        </w:rPr>
        <w:t xml:space="preserve">, including through </w:t>
      </w:r>
      <w:r w:rsidRPr="007A25A3">
        <w:rPr>
          <w:rFonts w:ascii="Times New Roman" w:hAnsi="Times New Roman" w:cs="Times New Roman"/>
          <w:sz w:val="24"/>
          <w:szCs w:val="24"/>
        </w:rPr>
        <w:t>co-financing</w:t>
      </w:r>
      <w:r w:rsidR="00461FA0">
        <w:rPr>
          <w:rFonts w:ascii="Times New Roman" w:hAnsi="Times New Roman" w:cs="Times New Roman"/>
          <w:sz w:val="24"/>
          <w:szCs w:val="24"/>
        </w:rPr>
        <w:t xml:space="preserve"> (see chapter 2).</w:t>
      </w:r>
    </w:p>
    <w:p w:rsidR="007A25A3" w:rsidRDefault="007A25A3" w:rsidP="007D6F1B">
      <w:pPr>
        <w:pStyle w:val="ad"/>
        <w:numPr>
          <w:ilvl w:val="0"/>
          <w:numId w:val="5"/>
        </w:numPr>
        <w:spacing w:after="0" w:line="240" w:lineRule="auto"/>
        <w:jc w:val="both"/>
        <w:rPr>
          <w:rFonts w:ascii="Times New Roman" w:hAnsi="Times New Roman" w:cs="Times New Roman"/>
          <w:sz w:val="24"/>
          <w:szCs w:val="24"/>
        </w:rPr>
      </w:pPr>
      <w:r w:rsidRPr="007A25A3">
        <w:rPr>
          <w:rFonts w:ascii="Times New Roman" w:hAnsi="Times New Roman" w:cs="Times New Roman"/>
          <w:sz w:val="24"/>
          <w:szCs w:val="24"/>
        </w:rPr>
        <w:t xml:space="preserve">For establishing and nurturing financial actors (venture capital, business angels) the </w:t>
      </w:r>
      <w:r w:rsidR="00461FA0">
        <w:rPr>
          <w:rFonts w:ascii="Times New Roman" w:hAnsi="Times New Roman" w:cs="Times New Roman"/>
          <w:sz w:val="24"/>
          <w:szCs w:val="24"/>
        </w:rPr>
        <w:t>Ministry of Economy</w:t>
      </w:r>
      <w:r w:rsidR="00461FA0" w:rsidRPr="007A25A3">
        <w:rPr>
          <w:rFonts w:ascii="Times New Roman" w:hAnsi="Times New Roman" w:cs="Times New Roman"/>
          <w:sz w:val="24"/>
          <w:szCs w:val="24"/>
        </w:rPr>
        <w:t xml:space="preserve"> </w:t>
      </w:r>
      <w:r w:rsidR="00897661">
        <w:rPr>
          <w:rFonts w:ascii="Times New Roman" w:hAnsi="Times New Roman" w:cs="Times New Roman"/>
          <w:sz w:val="24"/>
          <w:szCs w:val="24"/>
        </w:rPr>
        <w:t xml:space="preserve">and BiF </w:t>
      </w:r>
      <w:r w:rsidRPr="007A25A3">
        <w:rPr>
          <w:rFonts w:ascii="Times New Roman" w:hAnsi="Times New Roman" w:cs="Times New Roman"/>
          <w:sz w:val="24"/>
          <w:szCs w:val="24"/>
        </w:rPr>
        <w:t xml:space="preserve">should </w:t>
      </w:r>
      <w:r w:rsidR="0072457D" w:rsidRPr="007A25A3">
        <w:rPr>
          <w:rFonts w:ascii="Times New Roman" w:hAnsi="Times New Roman" w:cs="Times New Roman"/>
          <w:sz w:val="24"/>
          <w:szCs w:val="24"/>
        </w:rPr>
        <w:t>consider</w:t>
      </w:r>
      <w:r w:rsidR="00897661">
        <w:rPr>
          <w:rFonts w:ascii="Times New Roman" w:hAnsi="Times New Roman" w:cs="Times New Roman"/>
          <w:sz w:val="24"/>
          <w:szCs w:val="24"/>
        </w:rPr>
        <w:t xml:space="preserve"> options</w:t>
      </w:r>
      <w:r w:rsidRPr="007A25A3">
        <w:rPr>
          <w:rFonts w:ascii="Times New Roman" w:hAnsi="Times New Roman" w:cs="Times New Roman"/>
          <w:sz w:val="24"/>
          <w:szCs w:val="24"/>
        </w:rPr>
        <w:t xml:space="preserve"> providing seed capital and introduce tax breaks for them, not only</w:t>
      </w:r>
      <w:r w:rsidR="00107887">
        <w:rPr>
          <w:rFonts w:ascii="Times New Roman" w:hAnsi="Times New Roman" w:cs="Times New Roman"/>
          <w:sz w:val="24"/>
          <w:szCs w:val="24"/>
        </w:rPr>
        <w:t xml:space="preserve"> for </w:t>
      </w:r>
      <w:r w:rsidRPr="007A25A3">
        <w:rPr>
          <w:rFonts w:ascii="Times New Roman" w:hAnsi="Times New Roman" w:cs="Times New Roman"/>
          <w:sz w:val="24"/>
          <w:szCs w:val="24"/>
        </w:rPr>
        <w:t>legal</w:t>
      </w:r>
      <w:r w:rsidR="00107887">
        <w:rPr>
          <w:rFonts w:ascii="Times New Roman" w:hAnsi="Times New Roman" w:cs="Times New Roman"/>
          <w:sz w:val="24"/>
          <w:szCs w:val="24"/>
        </w:rPr>
        <w:t xml:space="preserve"> persons</w:t>
      </w:r>
      <w:r w:rsidRPr="007A25A3">
        <w:rPr>
          <w:rFonts w:ascii="Times New Roman" w:hAnsi="Times New Roman" w:cs="Times New Roman"/>
          <w:sz w:val="24"/>
          <w:szCs w:val="24"/>
        </w:rPr>
        <w:t>, but also for individuals.</w:t>
      </w:r>
      <w:r w:rsidR="00897661">
        <w:rPr>
          <w:rFonts w:ascii="Times New Roman" w:hAnsi="Times New Roman" w:cs="Times New Roman"/>
          <w:sz w:val="24"/>
          <w:szCs w:val="24"/>
        </w:rPr>
        <w:t xml:space="preserve"> (see Chapter 2).</w:t>
      </w:r>
      <w:r w:rsidRPr="007A25A3">
        <w:rPr>
          <w:rFonts w:ascii="Times New Roman" w:hAnsi="Times New Roman" w:cs="Times New Roman"/>
          <w:sz w:val="24"/>
          <w:szCs w:val="24"/>
        </w:rPr>
        <w:t xml:space="preserve">   </w:t>
      </w:r>
    </w:p>
    <w:p w:rsidR="003B6EAB" w:rsidRDefault="003B6EAB" w:rsidP="007D6F1B">
      <w:pPr>
        <w:pStyle w:val="ad"/>
        <w:numPr>
          <w:ilvl w:val="0"/>
          <w:numId w:val="5"/>
        </w:numPr>
        <w:spacing w:after="0" w:line="240" w:lineRule="auto"/>
        <w:jc w:val="both"/>
        <w:rPr>
          <w:rFonts w:ascii="Times New Roman" w:hAnsi="Times New Roman" w:cs="Times New Roman"/>
          <w:sz w:val="24"/>
          <w:szCs w:val="24"/>
        </w:rPr>
      </w:pPr>
      <w:r w:rsidRPr="003B6EAB">
        <w:rPr>
          <w:rFonts w:ascii="Times New Roman" w:hAnsi="Times New Roman" w:cs="Times New Roman"/>
          <w:sz w:val="24"/>
          <w:szCs w:val="24"/>
        </w:rPr>
        <w:t>The RDI bidding system has to offer equal opportunities to enterprises owned publicly or privately. Pre-determined competition has to be eliminated to make the competition conditions equal for state-owned and private firms including foreign entities operating in Belarus.</w:t>
      </w:r>
      <w:r w:rsidR="00897661">
        <w:rPr>
          <w:rFonts w:ascii="Times New Roman" w:hAnsi="Times New Roman" w:cs="Times New Roman"/>
          <w:sz w:val="24"/>
          <w:szCs w:val="24"/>
        </w:rPr>
        <w:t xml:space="preserve"> (see chapter 2)</w:t>
      </w:r>
    </w:p>
    <w:p w:rsidR="00107887" w:rsidRDefault="00107887" w:rsidP="007A25A3">
      <w:pPr>
        <w:spacing w:after="0" w:line="240" w:lineRule="auto"/>
        <w:jc w:val="both"/>
        <w:rPr>
          <w:rFonts w:ascii="Times New Roman" w:hAnsi="Times New Roman" w:cs="Times New Roman"/>
          <w:sz w:val="24"/>
          <w:szCs w:val="24"/>
        </w:rPr>
      </w:pPr>
    </w:p>
    <w:p w:rsidR="007A25A3" w:rsidRDefault="00107887" w:rsidP="007A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A25A3" w:rsidRPr="007A25A3">
        <w:rPr>
          <w:rFonts w:ascii="Times New Roman" w:hAnsi="Times New Roman" w:cs="Times New Roman"/>
          <w:sz w:val="24"/>
          <w:szCs w:val="24"/>
        </w:rPr>
        <w:tab/>
      </w:r>
      <w:r>
        <w:rPr>
          <w:rFonts w:ascii="Times New Roman" w:hAnsi="Times New Roman" w:cs="Times New Roman"/>
          <w:i/>
          <w:sz w:val="24"/>
          <w:szCs w:val="24"/>
        </w:rPr>
        <w:t>State aid</w:t>
      </w:r>
      <w:r w:rsidR="00035036">
        <w:rPr>
          <w:rFonts w:ascii="Times New Roman" w:hAnsi="Times New Roman" w:cs="Times New Roman"/>
          <w:i/>
          <w:sz w:val="24"/>
          <w:szCs w:val="24"/>
        </w:rPr>
        <w:t xml:space="preserve"> and incentives</w:t>
      </w:r>
      <w:r w:rsidRPr="00107887">
        <w:rPr>
          <w:rFonts w:ascii="Times New Roman" w:hAnsi="Times New Roman" w:cs="Times New Roman"/>
          <w:i/>
          <w:sz w:val="24"/>
          <w:szCs w:val="24"/>
        </w:rPr>
        <w:t>:</w:t>
      </w:r>
      <w:r>
        <w:rPr>
          <w:rFonts w:ascii="Times New Roman" w:hAnsi="Times New Roman" w:cs="Times New Roman"/>
          <w:sz w:val="24"/>
          <w:szCs w:val="24"/>
        </w:rPr>
        <w:t xml:space="preserve"> </w:t>
      </w:r>
      <w:r w:rsidR="007A25A3" w:rsidRPr="007A25A3">
        <w:rPr>
          <w:rFonts w:ascii="Times New Roman" w:hAnsi="Times New Roman" w:cs="Times New Roman"/>
          <w:sz w:val="24"/>
          <w:szCs w:val="24"/>
        </w:rPr>
        <w:t>State financial support has to be provided on a larger scale to approach better the critical mass of financial resources for RDI. Adequate financial support from the State was hampered by the recent crisis and a tight budgetary policy</w:t>
      </w:r>
      <w:r w:rsidR="00035036">
        <w:rPr>
          <w:rFonts w:ascii="Times New Roman" w:hAnsi="Times New Roman" w:cs="Times New Roman"/>
          <w:sz w:val="24"/>
          <w:szCs w:val="24"/>
        </w:rPr>
        <w:t>, but it will be necessary in the long term to ensure development objectives.</w:t>
      </w:r>
      <w:r w:rsidR="007A25A3" w:rsidRPr="007A25A3">
        <w:rPr>
          <w:rFonts w:ascii="Times New Roman" w:hAnsi="Times New Roman" w:cs="Times New Roman"/>
          <w:sz w:val="24"/>
          <w:szCs w:val="24"/>
        </w:rPr>
        <w:t xml:space="preserve"> </w:t>
      </w:r>
      <w:r w:rsidR="00035036">
        <w:rPr>
          <w:rFonts w:ascii="Times New Roman" w:hAnsi="Times New Roman" w:cs="Times New Roman"/>
          <w:sz w:val="24"/>
          <w:szCs w:val="24"/>
        </w:rPr>
        <w:t xml:space="preserve">With regard to </w:t>
      </w:r>
      <w:r w:rsidR="007A25A3" w:rsidRPr="00035036">
        <w:rPr>
          <w:rFonts w:ascii="Times New Roman" w:hAnsi="Times New Roman" w:cs="Times New Roman"/>
          <w:sz w:val="24"/>
          <w:szCs w:val="24"/>
        </w:rPr>
        <w:t xml:space="preserve">State </w:t>
      </w:r>
      <w:r w:rsidR="00035036" w:rsidRPr="00035036">
        <w:rPr>
          <w:rFonts w:ascii="Times New Roman" w:hAnsi="Times New Roman" w:cs="Times New Roman"/>
          <w:sz w:val="24"/>
          <w:szCs w:val="24"/>
        </w:rPr>
        <w:t>i</w:t>
      </w:r>
      <w:r w:rsidR="007A25A3" w:rsidRPr="00035036">
        <w:rPr>
          <w:rFonts w:ascii="Times New Roman" w:hAnsi="Times New Roman" w:cs="Times New Roman"/>
          <w:sz w:val="24"/>
          <w:szCs w:val="24"/>
        </w:rPr>
        <w:t>ncentives</w:t>
      </w:r>
      <w:r w:rsidR="00035036">
        <w:rPr>
          <w:rFonts w:ascii="Times New Roman" w:hAnsi="Times New Roman" w:cs="Times New Roman"/>
          <w:sz w:val="24"/>
          <w:szCs w:val="24"/>
        </w:rPr>
        <w:t>, a</w:t>
      </w:r>
      <w:r w:rsidR="007A25A3" w:rsidRPr="007A25A3">
        <w:rPr>
          <w:rFonts w:ascii="Times New Roman" w:hAnsi="Times New Roman" w:cs="Times New Roman"/>
          <w:sz w:val="24"/>
          <w:szCs w:val="24"/>
        </w:rPr>
        <w:t>t present the</w:t>
      </w:r>
      <w:r w:rsidR="00035036">
        <w:rPr>
          <w:rFonts w:ascii="Times New Roman" w:hAnsi="Times New Roman" w:cs="Times New Roman"/>
          <w:sz w:val="24"/>
          <w:szCs w:val="24"/>
        </w:rPr>
        <w:t xml:space="preserve">se are </w:t>
      </w:r>
      <w:r w:rsidR="007A25A3" w:rsidRPr="007A25A3">
        <w:rPr>
          <w:rFonts w:ascii="Times New Roman" w:hAnsi="Times New Roman" w:cs="Times New Roman"/>
          <w:sz w:val="24"/>
          <w:szCs w:val="24"/>
        </w:rPr>
        <w:t>scarc</w:t>
      </w:r>
      <w:r w:rsidR="00035036">
        <w:rPr>
          <w:rFonts w:ascii="Times New Roman" w:hAnsi="Times New Roman" w:cs="Times New Roman"/>
          <w:sz w:val="24"/>
          <w:szCs w:val="24"/>
        </w:rPr>
        <w:t>e. The following measures are recommended:</w:t>
      </w:r>
    </w:p>
    <w:p w:rsidR="00B91E57" w:rsidRPr="007A25A3" w:rsidRDefault="00B91E57" w:rsidP="007A25A3">
      <w:pPr>
        <w:spacing w:after="0" w:line="240" w:lineRule="auto"/>
        <w:jc w:val="both"/>
        <w:rPr>
          <w:rFonts w:ascii="Times New Roman" w:hAnsi="Times New Roman" w:cs="Times New Roman"/>
          <w:sz w:val="24"/>
          <w:szCs w:val="24"/>
        </w:rPr>
      </w:pPr>
    </w:p>
    <w:p w:rsidR="003B6EAB" w:rsidRDefault="00035036" w:rsidP="007D6F1B">
      <w:pPr>
        <w:pStyle w:val="ad"/>
        <w:numPr>
          <w:ilvl w:val="0"/>
          <w:numId w:val="5"/>
        </w:numPr>
        <w:spacing w:after="0" w:line="240" w:lineRule="auto"/>
        <w:jc w:val="both"/>
        <w:rPr>
          <w:rFonts w:ascii="Times New Roman" w:hAnsi="Times New Roman" w:cs="Times New Roman"/>
          <w:sz w:val="24"/>
          <w:szCs w:val="24"/>
        </w:rPr>
      </w:pPr>
      <w:r w:rsidRPr="00035036">
        <w:rPr>
          <w:rFonts w:ascii="Times New Roman" w:hAnsi="Times New Roman" w:cs="Times New Roman"/>
          <w:sz w:val="24"/>
          <w:szCs w:val="24"/>
        </w:rPr>
        <w:t>T</w:t>
      </w:r>
      <w:r w:rsidR="007A25A3" w:rsidRPr="00035036">
        <w:rPr>
          <w:rFonts w:ascii="Times New Roman" w:hAnsi="Times New Roman" w:cs="Times New Roman"/>
          <w:sz w:val="24"/>
          <w:szCs w:val="24"/>
        </w:rPr>
        <w:t>he allocation of</w:t>
      </w:r>
      <w:r w:rsidRPr="00035036">
        <w:rPr>
          <w:rFonts w:ascii="Times New Roman" w:hAnsi="Times New Roman" w:cs="Times New Roman"/>
          <w:sz w:val="24"/>
          <w:szCs w:val="24"/>
        </w:rPr>
        <w:t xml:space="preserve"> public</w:t>
      </w:r>
      <w:r w:rsidR="007A25A3" w:rsidRPr="00035036">
        <w:rPr>
          <w:rFonts w:ascii="Times New Roman" w:hAnsi="Times New Roman" w:cs="Times New Roman"/>
          <w:sz w:val="24"/>
          <w:szCs w:val="24"/>
        </w:rPr>
        <w:t xml:space="preserve"> funds </w:t>
      </w:r>
      <w:r w:rsidRPr="00035036">
        <w:rPr>
          <w:rFonts w:ascii="Times New Roman" w:hAnsi="Times New Roman" w:cs="Times New Roman"/>
          <w:sz w:val="24"/>
          <w:szCs w:val="24"/>
        </w:rPr>
        <w:t>for financing innovation should meet development objectives, which involve a holistic approach that considers t</w:t>
      </w:r>
      <w:r w:rsidR="007A25A3" w:rsidRPr="00035036">
        <w:rPr>
          <w:rFonts w:ascii="Times New Roman" w:hAnsi="Times New Roman" w:cs="Times New Roman"/>
          <w:sz w:val="24"/>
          <w:szCs w:val="24"/>
        </w:rPr>
        <w:t>he phases of R&amp;D, sector</w:t>
      </w:r>
      <w:r w:rsidR="003B6EAB">
        <w:rPr>
          <w:rFonts w:ascii="Times New Roman" w:hAnsi="Times New Roman" w:cs="Times New Roman"/>
          <w:sz w:val="24"/>
          <w:szCs w:val="24"/>
        </w:rPr>
        <w:t xml:space="preserve"> diversification</w:t>
      </w:r>
      <w:r w:rsidR="007A25A3" w:rsidRPr="00035036">
        <w:rPr>
          <w:rFonts w:ascii="Times New Roman" w:hAnsi="Times New Roman" w:cs="Times New Roman"/>
          <w:sz w:val="24"/>
          <w:szCs w:val="24"/>
        </w:rPr>
        <w:t xml:space="preserve"> and region</w:t>
      </w:r>
      <w:r w:rsidR="003B6EAB">
        <w:rPr>
          <w:rFonts w:ascii="Times New Roman" w:hAnsi="Times New Roman" w:cs="Times New Roman"/>
          <w:sz w:val="24"/>
          <w:szCs w:val="24"/>
        </w:rPr>
        <w:t>al development needs</w:t>
      </w:r>
      <w:r w:rsidR="00897661">
        <w:rPr>
          <w:rFonts w:ascii="Times New Roman" w:hAnsi="Times New Roman" w:cs="Times New Roman"/>
          <w:sz w:val="24"/>
          <w:szCs w:val="24"/>
        </w:rPr>
        <w:t xml:space="preserve"> (see chapter 2)</w:t>
      </w:r>
      <w:r w:rsidR="007A25A3" w:rsidRPr="00035036">
        <w:rPr>
          <w:rFonts w:ascii="Times New Roman" w:hAnsi="Times New Roman" w:cs="Times New Roman"/>
          <w:sz w:val="24"/>
          <w:szCs w:val="24"/>
        </w:rPr>
        <w:t>.</w:t>
      </w:r>
      <w:r w:rsidRPr="00035036">
        <w:rPr>
          <w:rFonts w:ascii="Times New Roman" w:hAnsi="Times New Roman" w:cs="Times New Roman"/>
          <w:sz w:val="24"/>
          <w:szCs w:val="24"/>
        </w:rPr>
        <w:t xml:space="preserve">  </w:t>
      </w:r>
    </w:p>
    <w:p w:rsidR="003B6EAB" w:rsidRPr="0072457D" w:rsidRDefault="00897661"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SCST in cooperation with the Ministry of Economy should c workd towards c</w:t>
      </w:r>
      <w:r w:rsidR="007A25A3" w:rsidRPr="0072457D">
        <w:rPr>
          <w:rFonts w:ascii="Times New Roman" w:hAnsi="Times New Roman" w:cs="Times New Roman"/>
          <w:sz w:val="24"/>
          <w:szCs w:val="24"/>
        </w:rPr>
        <w:t>hang</w:t>
      </w:r>
      <w:r>
        <w:rPr>
          <w:rFonts w:ascii="Times New Roman" w:hAnsi="Times New Roman" w:cs="Times New Roman"/>
          <w:sz w:val="24"/>
          <w:szCs w:val="24"/>
        </w:rPr>
        <w:t>ing</w:t>
      </w:r>
      <w:r w:rsidR="007A25A3" w:rsidRPr="0072457D">
        <w:rPr>
          <w:rFonts w:ascii="Times New Roman" w:hAnsi="Times New Roman" w:cs="Times New Roman"/>
          <w:sz w:val="24"/>
          <w:szCs w:val="24"/>
        </w:rPr>
        <w:t xml:space="preserve"> the allocation of State support from slowly growing low- and medium-tech sectors to the promising medium-high and high tech sectors.</w:t>
      </w:r>
    </w:p>
    <w:p w:rsidR="003B6EAB" w:rsidRPr="00901C08" w:rsidRDefault="00A778A2"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SCST and related bodies should work towards m</w:t>
      </w:r>
      <w:r w:rsidR="007A25A3" w:rsidRPr="003B6EAB">
        <w:rPr>
          <w:rFonts w:ascii="Times New Roman" w:hAnsi="Times New Roman" w:cs="Times New Roman"/>
          <w:sz w:val="24"/>
          <w:szCs w:val="24"/>
        </w:rPr>
        <w:t>odify</w:t>
      </w:r>
      <w:r>
        <w:rPr>
          <w:rFonts w:ascii="Times New Roman" w:hAnsi="Times New Roman" w:cs="Times New Roman"/>
          <w:sz w:val="24"/>
          <w:szCs w:val="24"/>
        </w:rPr>
        <w:t>ing</w:t>
      </w:r>
      <w:r w:rsidR="007A25A3" w:rsidRPr="003B6EAB">
        <w:rPr>
          <w:rFonts w:ascii="Times New Roman" w:hAnsi="Times New Roman" w:cs="Times New Roman"/>
          <w:sz w:val="24"/>
          <w:szCs w:val="24"/>
        </w:rPr>
        <w:t xml:space="preserve"> RDI support allocation among regions to diminish the distance between advanced and laggard regions.</w:t>
      </w:r>
    </w:p>
    <w:p w:rsidR="00A92E97" w:rsidRDefault="007A25A3" w:rsidP="007D6F1B">
      <w:pPr>
        <w:pStyle w:val="ad"/>
        <w:numPr>
          <w:ilvl w:val="0"/>
          <w:numId w:val="5"/>
        </w:numPr>
        <w:spacing w:after="0" w:line="240" w:lineRule="auto"/>
        <w:jc w:val="both"/>
        <w:rPr>
          <w:rFonts w:ascii="Times New Roman" w:hAnsi="Times New Roman" w:cs="Times New Roman"/>
          <w:sz w:val="24"/>
          <w:szCs w:val="24"/>
        </w:rPr>
      </w:pPr>
      <w:r w:rsidRPr="003B6EAB">
        <w:rPr>
          <w:rFonts w:ascii="Times New Roman" w:hAnsi="Times New Roman" w:cs="Times New Roman"/>
          <w:sz w:val="24"/>
          <w:szCs w:val="24"/>
        </w:rPr>
        <w:t xml:space="preserve">Public support is available mainly as repayable funds. The </w:t>
      </w:r>
      <w:r w:rsidR="00A778A2">
        <w:rPr>
          <w:rFonts w:ascii="Times New Roman" w:hAnsi="Times New Roman" w:cs="Times New Roman"/>
          <w:sz w:val="24"/>
          <w:szCs w:val="24"/>
        </w:rPr>
        <w:t>G</w:t>
      </w:r>
      <w:r w:rsidR="00A778A2" w:rsidRPr="003B6EAB">
        <w:rPr>
          <w:rFonts w:ascii="Times New Roman" w:hAnsi="Times New Roman" w:cs="Times New Roman"/>
          <w:sz w:val="24"/>
          <w:szCs w:val="24"/>
        </w:rPr>
        <w:t xml:space="preserve">overnment </w:t>
      </w:r>
      <w:r w:rsidRPr="003B6EAB">
        <w:rPr>
          <w:rFonts w:ascii="Times New Roman" w:hAnsi="Times New Roman" w:cs="Times New Roman"/>
          <w:sz w:val="24"/>
          <w:szCs w:val="24"/>
        </w:rPr>
        <w:t>has to provide more non-reimbursable finan</w:t>
      </w:r>
      <w:r w:rsidR="00A92E97">
        <w:rPr>
          <w:rFonts w:ascii="Times New Roman" w:hAnsi="Times New Roman" w:cs="Times New Roman"/>
          <w:sz w:val="24"/>
          <w:szCs w:val="24"/>
        </w:rPr>
        <w:t xml:space="preserve">cial support for risky projects. </w:t>
      </w:r>
      <w:r w:rsidR="00A92E97" w:rsidRPr="00A92E97">
        <w:rPr>
          <w:rFonts w:ascii="Times New Roman" w:hAnsi="Times New Roman" w:cs="Times New Roman"/>
          <w:sz w:val="24"/>
          <w:szCs w:val="24"/>
        </w:rPr>
        <w:t xml:space="preserve">Repayment for unsuccessful project means retroactive withdrawal from risk-sharing. This mechanism does not seem to be a good incentive to engage private actors into </w:t>
      </w:r>
      <w:r w:rsidR="00A92E97">
        <w:rPr>
          <w:rFonts w:ascii="Times New Roman" w:hAnsi="Times New Roman" w:cs="Times New Roman"/>
          <w:sz w:val="24"/>
          <w:szCs w:val="24"/>
        </w:rPr>
        <w:t>risk taking, as it</w:t>
      </w:r>
      <w:r w:rsidR="00A92E97" w:rsidRPr="00A92E97">
        <w:rPr>
          <w:rFonts w:ascii="Times New Roman" w:hAnsi="Times New Roman" w:cs="Times New Roman"/>
          <w:sz w:val="24"/>
          <w:szCs w:val="24"/>
        </w:rPr>
        <w:t xml:space="preserve"> puts all risks on the company</w:t>
      </w:r>
      <w:r w:rsidR="00A92E97">
        <w:rPr>
          <w:rFonts w:ascii="Times New Roman" w:hAnsi="Times New Roman" w:cs="Times New Roman"/>
          <w:sz w:val="24"/>
          <w:szCs w:val="24"/>
        </w:rPr>
        <w:t xml:space="preserve"> (</w:t>
      </w:r>
      <w:r w:rsidR="00A778A2">
        <w:rPr>
          <w:rFonts w:ascii="Times New Roman" w:hAnsi="Times New Roman" w:cs="Times New Roman"/>
          <w:sz w:val="24"/>
          <w:szCs w:val="24"/>
        </w:rPr>
        <w:t>SCST in cooperation with the Ministry of Economy may consider</w:t>
      </w:r>
      <w:r w:rsidR="00A92E97" w:rsidRPr="00A92E97">
        <w:rPr>
          <w:rFonts w:ascii="Times New Roman" w:hAnsi="Times New Roman" w:cs="Times New Roman"/>
          <w:sz w:val="24"/>
          <w:szCs w:val="24"/>
        </w:rPr>
        <w:t xml:space="preserve"> introduc</w:t>
      </w:r>
      <w:r w:rsidR="00A778A2">
        <w:rPr>
          <w:rFonts w:ascii="Times New Roman" w:hAnsi="Times New Roman" w:cs="Times New Roman"/>
          <w:sz w:val="24"/>
          <w:szCs w:val="24"/>
        </w:rPr>
        <w:t>ing</w:t>
      </w:r>
      <w:r w:rsidR="00A92E97" w:rsidRPr="00A92E97">
        <w:rPr>
          <w:rFonts w:ascii="Times New Roman" w:hAnsi="Times New Roman" w:cs="Times New Roman"/>
          <w:sz w:val="24"/>
          <w:szCs w:val="24"/>
        </w:rPr>
        <w:t xml:space="preserve"> the partial re-payment of non-repayable funds if the project is successful)</w:t>
      </w:r>
      <w:r w:rsidR="00A778A2">
        <w:rPr>
          <w:rFonts w:ascii="Times New Roman" w:hAnsi="Times New Roman" w:cs="Times New Roman"/>
          <w:sz w:val="24"/>
          <w:szCs w:val="24"/>
        </w:rPr>
        <w:t xml:space="preserve"> (see Chapter 2)</w:t>
      </w:r>
    </w:p>
    <w:p w:rsidR="00754435" w:rsidRDefault="00A92E97" w:rsidP="00A778A2">
      <w:pPr>
        <w:pStyle w:val="ad"/>
        <w:numPr>
          <w:ilvl w:val="0"/>
          <w:numId w:val="5"/>
        </w:numPr>
        <w:spacing w:after="0" w:line="240" w:lineRule="auto"/>
        <w:jc w:val="both"/>
        <w:rPr>
          <w:rFonts w:ascii="Times New Roman" w:hAnsi="Times New Roman" w:cs="Times New Roman"/>
          <w:sz w:val="24"/>
          <w:szCs w:val="24"/>
        </w:rPr>
      </w:pPr>
      <w:r w:rsidRPr="00754435">
        <w:rPr>
          <w:rFonts w:ascii="Times New Roman" w:hAnsi="Times New Roman" w:cs="Times New Roman"/>
          <w:sz w:val="24"/>
          <w:szCs w:val="24"/>
        </w:rPr>
        <w:t>Set up</w:t>
      </w:r>
      <w:r w:rsidR="007A25A3" w:rsidRPr="00754435">
        <w:rPr>
          <w:rFonts w:ascii="Times New Roman" w:hAnsi="Times New Roman" w:cs="Times New Roman"/>
          <w:sz w:val="24"/>
          <w:szCs w:val="24"/>
        </w:rPr>
        <w:t xml:space="preserve"> with sizeable financial resources the planned schemes in the programmes for nurturing innovative start-ups and further developing innovative SMEs.</w:t>
      </w:r>
      <w:r w:rsidR="00A778A2">
        <w:rPr>
          <w:rFonts w:ascii="Times New Roman" w:hAnsi="Times New Roman" w:cs="Times New Roman"/>
          <w:sz w:val="24"/>
          <w:szCs w:val="24"/>
        </w:rPr>
        <w:t xml:space="preserve"> Government institutions providing </w:t>
      </w:r>
      <w:r w:rsidR="00A971CD">
        <w:rPr>
          <w:rFonts w:ascii="Times New Roman" w:hAnsi="Times New Roman" w:cs="Times New Roman"/>
          <w:sz w:val="24"/>
          <w:szCs w:val="24"/>
        </w:rPr>
        <w:t>finance for innovation activities</w:t>
      </w:r>
      <w:r w:rsidR="00A778A2">
        <w:rPr>
          <w:rFonts w:ascii="Times New Roman" w:hAnsi="Times New Roman" w:cs="Times New Roman"/>
          <w:sz w:val="24"/>
          <w:szCs w:val="24"/>
        </w:rPr>
        <w:t xml:space="preserve"> (i.e. the Development Bank Belinfund, the</w:t>
      </w:r>
      <w:r w:rsidR="00A778A2" w:rsidRPr="00A778A2">
        <w:t xml:space="preserve"> </w:t>
      </w:r>
      <w:r w:rsidR="00A778A2" w:rsidRPr="00A778A2">
        <w:rPr>
          <w:rFonts w:ascii="Times New Roman" w:hAnsi="Times New Roman" w:cs="Times New Roman"/>
          <w:sz w:val="24"/>
          <w:szCs w:val="24"/>
        </w:rPr>
        <w:t>Belarusian Fund for Financial Support of Entrepreneurs</w:t>
      </w:r>
      <w:r w:rsidR="00A778A2">
        <w:rPr>
          <w:rFonts w:ascii="Times New Roman" w:hAnsi="Times New Roman" w:cs="Times New Roman"/>
          <w:sz w:val="24"/>
          <w:szCs w:val="24"/>
        </w:rPr>
        <w:t>) could consider</w:t>
      </w:r>
      <w:r w:rsidRPr="00754435">
        <w:rPr>
          <w:rFonts w:ascii="Times New Roman" w:hAnsi="Times New Roman" w:cs="Times New Roman"/>
          <w:sz w:val="24"/>
          <w:szCs w:val="24"/>
        </w:rPr>
        <w:t xml:space="preserve"> subsidiz</w:t>
      </w:r>
      <w:r w:rsidR="00A778A2">
        <w:rPr>
          <w:rFonts w:ascii="Times New Roman" w:hAnsi="Times New Roman" w:cs="Times New Roman"/>
          <w:sz w:val="24"/>
          <w:szCs w:val="24"/>
        </w:rPr>
        <w:t>ing</w:t>
      </w:r>
      <w:r w:rsidRPr="00754435">
        <w:rPr>
          <w:rFonts w:ascii="Times New Roman" w:hAnsi="Times New Roman" w:cs="Times New Roman"/>
          <w:sz w:val="24"/>
          <w:szCs w:val="24"/>
        </w:rPr>
        <w:t xml:space="preserve"> interest rates for the loans in the case of business R&amp;D, early stage innovation, start-ups and SMEs. </w:t>
      </w:r>
    </w:p>
    <w:p w:rsidR="00A92E97" w:rsidRPr="00754435" w:rsidRDefault="00A778A2"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SCST in cooperation with the Ministry of Economy should consider s</w:t>
      </w:r>
      <w:r w:rsidR="00A92E97" w:rsidRPr="00754435">
        <w:rPr>
          <w:rFonts w:ascii="Times New Roman" w:hAnsi="Times New Roman" w:cs="Times New Roman"/>
          <w:sz w:val="24"/>
          <w:szCs w:val="24"/>
        </w:rPr>
        <w:t>et</w:t>
      </w:r>
      <w:r>
        <w:rPr>
          <w:rFonts w:ascii="Times New Roman" w:hAnsi="Times New Roman" w:cs="Times New Roman"/>
          <w:sz w:val="24"/>
          <w:szCs w:val="24"/>
        </w:rPr>
        <w:t>ting</w:t>
      </w:r>
      <w:r w:rsidR="00A92E97" w:rsidRPr="00754435">
        <w:rPr>
          <w:rFonts w:ascii="Times New Roman" w:hAnsi="Times New Roman" w:cs="Times New Roman"/>
          <w:sz w:val="24"/>
          <w:szCs w:val="24"/>
        </w:rPr>
        <w:t xml:space="preserve"> up tax exemptions and tax credits on intramural R&amp;D activities.</w:t>
      </w:r>
    </w:p>
    <w:p w:rsidR="00A92E97" w:rsidRPr="00901C08" w:rsidRDefault="00A778A2"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cooperation with the NCIP and the RCCT, SCST should discuss strategies for obtaining a</w:t>
      </w:r>
      <w:r w:rsidR="00A92E97">
        <w:rPr>
          <w:rFonts w:ascii="Times New Roman" w:hAnsi="Times New Roman" w:cs="Times New Roman"/>
          <w:sz w:val="24"/>
          <w:szCs w:val="24"/>
        </w:rPr>
        <w:t>ssistance</w:t>
      </w:r>
      <w:r w:rsidR="00A92E97" w:rsidRPr="00A92E97">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92E97" w:rsidRPr="00A92E97">
        <w:rPr>
          <w:rFonts w:ascii="Times New Roman" w:hAnsi="Times New Roman" w:cs="Times New Roman"/>
          <w:sz w:val="24"/>
          <w:szCs w:val="24"/>
        </w:rPr>
        <w:t xml:space="preserve">international patents and incentives for patenting abroad </w:t>
      </w:r>
      <w:r w:rsidR="00A92E97">
        <w:rPr>
          <w:rFonts w:ascii="Times New Roman" w:hAnsi="Times New Roman" w:cs="Times New Roman"/>
          <w:sz w:val="24"/>
          <w:szCs w:val="24"/>
        </w:rPr>
        <w:t>in order to p</w:t>
      </w:r>
      <w:r w:rsidR="00A92E97" w:rsidRPr="00A92E97">
        <w:rPr>
          <w:rFonts w:ascii="Times New Roman" w:hAnsi="Times New Roman" w:cs="Times New Roman"/>
          <w:sz w:val="24"/>
          <w:szCs w:val="24"/>
        </w:rPr>
        <w:t xml:space="preserve">rotect Belarus intellectual </w:t>
      </w:r>
      <w:r w:rsidR="00A92E97">
        <w:rPr>
          <w:rFonts w:ascii="Times New Roman" w:hAnsi="Times New Roman" w:cs="Times New Roman"/>
          <w:sz w:val="24"/>
          <w:szCs w:val="24"/>
        </w:rPr>
        <w:t xml:space="preserve">property. </w:t>
      </w:r>
    </w:p>
    <w:p w:rsidR="0056179C" w:rsidRDefault="007A25A3" w:rsidP="007A25A3">
      <w:pPr>
        <w:spacing w:after="0" w:line="240" w:lineRule="auto"/>
        <w:jc w:val="both"/>
        <w:rPr>
          <w:rFonts w:ascii="Times New Roman" w:hAnsi="Times New Roman" w:cs="Times New Roman"/>
          <w:sz w:val="24"/>
          <w:szCs w:val="24"/>
        </w:rPr>
      </w:pPr>
      <w:r w:rsidRPr="007A25A3">
        <w:rPr>
          <w:rFonts w:ascii="Times New Roman" w:hAnsi="Times New Roman" w:cs="Times New Roman"/>
          <w:sz w:val="24"/>
          <w:szCs w:val="24"/>
        </w:rPr>
        <w:tab/>
      </w:r>
    </w:p>
    <w:p w:rsidR="007A25A3" w:rsidRDefault="009C1976" w:rsidP="007A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9C1976">
        <w:rPr>
          <w:rFonts w:ascii="Times New Roman" w:hAnsi="Times New Roman" w:cs="Times New Roman"/>
          <w:i/>
          <w:sz w:val="24"/>
          <w:szCs w:val="24"/>
        </w:rPr>
        <w:t>Improve labour and skills development policies</w:t>
      </w:r>
      <w:r w:rsidR="0015584A">
        <w:rPr>
          <w:rFonts w:ascii="Times New Roman" w:hAnsi="Times New Roman" w:cs="Times New Roman"/>
          <w:i/>
          <w:sz w:val="24"/>
          <w:szCs w:val="24"/>
        </w:rPr>
        <w:t>.</w:t>
      </w:r>
      <w:r>
        <w:rPr>
          <w:rFonts w:ascii="Times New Roman" w:hAnsi="Times New Roman" w:cs="Times New Roman"/>
          <w:sz w:val="24"/>
          <w:szCs w:val="24"/>
        </w:rPr>
        <w:t xml:space="preserve"> </w:t>
      </w:r>
      <w:r w:rsidR="0015584A" w:rsidRPr="0015584A">
        <w:rPr>
          <w:rFonts w:ascii="Times New Roman" w:hAnsi="Times New Roman" w:cs="Times New Roman"/>
          <w:sz w:val="24"/>
          <w:szCs w:val="24"/>
        </w:rPr>
        <w:t>An adequately educated and trained skilled labour-force is crucial for an innovative economy</w:t>
      </w:r>
      <w:r w:rsidR="0015584A">
        <w:rPr>
          <w:rFonts w:ascii="Times New Roman" w:hAnsi="Times New Roman" w:cs="Times New Roman"/>
          <w:sz w:val="24"/>
          <w:szCs w:val="24"/>
        </w:rPr>
        <w:t xml:space="preserve">. </w:t>
      </w:r>
      <w:r w:rsidR="007A25A3" w:rsidRPr="007A25A3">
        <w:rPr>
          <w:rFonts w:ascii="Times New Roman" w:hAnsi="Times New Roman" w:cs="Times New Roman"/>
          <w:sz w:val="24"/>
          <w:szCs w:val="24"/>
        </w:rPr>
        <w:t xml:space="preserve">The </w:t>
      </w:r>
      <w:r w:rsidR="0015584A">
        <w:rPr>
          <w:rFonts w:ascii="Times New Roman" w:hAnsi="Times New Roman" w:cs="Times New Roman"/>
          <w:sz w:val="24"/>
          <w:szCs w:val="24"/>
        </w:rPr>
        <w:t>insufficient</w:t>
      </w:r>
      <w:r w:rsidR="007A25A3" w:rsidRPr="007A25A3">
        <w:rPr>
          <w:rFonts w:ascii="Times New Roman" w:hAnsi="Times New Roman" w:cs="Times New Roman"/>
          <w:sz w:val="24"/>
          <w:szCs w:val="24"/>
        </w:rPr>
        <w:t xml:space="preserve"> quantity and quality of human resources may hamper R&amp;D and innovation activities.</w:t>
      </w:r>
      <w:r w:rsidR="0015584A">
        <w:rPr>
          <w:rFonts w:ascii="Times New Roman" w:hAnsi="Times New Roman" w:cs="Times New Roman"/>
          <w:sz w:val="24"/>
          <w:szCs w:val="24"/>
        </w:rPr>
        <w:t xml:space="preserve"> </w:t>
      </w:r>
      <w:r w:rsidR="00801620">
        <w:rPr>
          <w:rFonts w:ascii="Times New Roman" w:hAnsi="Times New Roman" w:cs="Times New Roman"/>
          <w:sz w:val="24"/>
          <w:szCs w:val="24"/>
        </w:rPr>
        <w:t>SCST, in cooperation with the NAS and the Ministry of Education should consider s</w:t>
      </w:r>
      <w:r w:rsidR="0015584A">
        <w:rPr>
          <w:rFonts w:ascii="Times New Roman" w:hAnsi="Times New Roman" w:cs="Times New Roman"/>
          <w:sz w:val="24"/>
          <w:szCs w:val="24"/>
        </w:rPr>
        <w:t>ome reforms of the</w:t>
      </w:r>
      <w:r w:rsidR="007A25A3" w:rsidRPr="007A25A3">
        <w:rPr>
          <w:rFonts w:ascii="Times New Roman" w:hAnsi="Times New Roman" w:cs="Times New Roman"/>
          <w:sz w:val="24"/>
          <w:szCs w:val="24"/>
        </w:rPr>
        <w:t xml:space="preserve"> educational system to meet the needs of </w:t>
      </w:r>
      <w:r w:rsidR="00801620">
        <w:rPr>
          <w:rFonts w:ascii="Times New Roman" w:hAnsi="Times New Roman" w:cs="Times New Roman"/>
          <w:sz w:val="24"/>
          <w:szCs w:val="24"/>
        </w:rPr>
        <w:t>economic development</w:t>
      </w:r>
      <w:r w:rsidR="0015584A">
        <w:rPr>
          <w:rFonts w:ascii="Times New Roman" w:hAnsi="Times New Roman" w:cs="Times New Roman"/>
          <w:sz w:val="24"/>
          <w:szCs w:val="24"/>
        </w:rPr>
        <w:t xml:space="preserve">, including: </w:t>
      </w:r>
    </w:p>
    <w:p w:rsidR="001304BD" w:rsidRPr="007A25A3" w:rsidRDefault="001304BD" w:rsidP="007A25A3">
      <w:pPr>
        <w:spacing w:after="0" w:line="240" w:lineRule="auto"/>
        <w:jc w:val="both"/>
        <w:rPr>
          <w:rFonts w:ascii="Times New Roman" w:hAnsi="Times New Roman" w:cs="Times New Roman"/>
          <w:sz w:val="24"/>
          <w:szCs w:val="24"/>
        </w:rPr>
      </w:pPr>
    </w:p>
    <w:p w:rsidR="007A25A3" w:rsidRPr="007A25A3" w:rsidRDefault="0015584A" w:rsidP="007D6F1B">
      <w:pPr>
        <w:pStyle w:val="ad"/>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7A25A3" w:rsidRPr="007A25A3">
        <w:rPr>
          <w:rFonts w:ascii="Times New Roman" w:hAnsi="Times New Roman" w:cs="Times New Roman"/>
          <w:sz w:val="24"/>
          <w:szCs w:val="24"/>
        </w:rPr>
        <w:t>training for manager-practitioners in the field of R&amp;D, innovation, knowledge management, technology transfer for upgrading naturally-talented managers’ capabilities.</w:t>
      </w:r>
    </w:p>
    <w:p w:rsidR="007A25A3" w:rsidRPr="007A25A3" w:rsidRDefault="007A25A3" w:rsidP="007D6F1B">
      <w:pPr>
        <w:pStyle w:val="ad"/>
        <w:numPr>
          <w:ilvl w:val="0"/>
          <w:numId w:val="5"/>
        </w:numPr>
        <w:spacing w:after="0" w:line="240" w:lineRule="auto"/>
        <w:jc w:val="both"/>
        <w:rPr>
          <w:rFonts w:ascii="Times New Roman" w:hAnsi="Times New Roman" w:cs="Times New Roman"/>
          <w:sz w:val="24"/>
          <w:szCs w:val="24"/>
        </w:rPr>
      </w:pPr>
      <w:r w:rsidRPr="007A25A3">
        <w:rPr>
          <w:rFonts w:ascii="Times New Roman" w:hAnsi="Times New Roman" w:cs="Times New Roman"/>
          <w:sz w:val="24"/>
          <w:szCs w:val="24"/>
        </w:rPr>
        <w:t>Provide educational, training and consulting services for innovative enterprises and scientific-research organizations involving practitioners and researchers.</w:t>
      </w:r>
    </w:p>
    <w:p w:rsidR="007A25A3" w:rsidRDefault="007A25A3" w:rsidP="007D6F1B">
      <w:pPr>
        <w:pStyle w:val="ad"/>
        <w:numPr>
          <w:ilvl w:val="0"/>
          <w:numId w:val="5"/>
        </w:numPr>
        <w:spacing w:after="0" w:line="240" w:lineRule="auto"/>
        <w:jc w:val="both"/>
        <w:rPr>
          <w:rFonts w:ascii="Times New Roman" w:hAnsi="Times New Roman" w:cs="Times New Roman"/>
          <w:sz w:val="24"/>
          <w:szCs w:val="24"/>
        </w:rPr>
      </w:pPr>
      <w:r w:rsidRPr="007A25A3">
        <w:rPr>
          <w:rFonts w:ascii="Times New Roman" w:hAnsi="Times New Roman" w:cs="Times New Roman"/>
          <w:sz w:val="24"/>
          <w:szCs w:val="24"/>
        </w:rPr>
        <w:t>In the phase of knowledge adjustment to modern market economies</w:t>
      </w:r>
      <w:r w:rsidR="003D04A6">
        <w:rPr>
          <w:rFonts w:ascii="Times New Roman" w:hAnsi="Times New Roman" w:cs="Times New Roman"/>
          <w:sz w:val="24"/>
          <w:szCs w:val="24"/>
        </w:rPr>
        <w:t>,</w:t>
      </w:r>
      <w:r w:rsidRPr="007A25A3">
        <w:rPr>
          <w:rFonts w:ascii="Times New Roman" w:hAnsi="Times New Roman" w:cs="Times New Roman"/>
          <w:sz w:val="24"/>
          <w:szCs w:val="24"/>
        </w:rPr>
        <w:t xml:space="preserve"> attract international experts with complementary knowledge, support on-</w:t>
      </w:r>
      <w:r w:rsidR="00241F35">
        <w:rPr>
          <w:rFonts w:ascii="Times New Roman" w:hAnsi="Times New Roman" w:cs="Times New Roman"/>
          <w:sz w:val="24"/>
          <w:szCs w:val="24"/>
        </w:rPr>
        <w:t>the-job training and coaching.</w:t>
      </w:r>
      <w:r w:rsidRPr="007A25A3">
        <w:rPr>
          <w:rFonts w:ascii="Times New Roman" w:hAnsi="Times New Roman" w:cs="Times New Roman"/>
          <w:sz w:val="24"/>
          <w:szCs w:val="24"/>
        </w:rPr>
        <w:tab/>
      </w:r>
    </w:p>
    <w:p w:rsid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88051B">
        <w:rPr>
          <w:rFonts w:ascii="Times New Roman" w:hAnsi="Times New Roman" w:cs="Times New Roman"/>
          <w:i/>
          <w:sz w:val="24"/>
          <w:szCs w:val="24"/>
        </w:rPr>
        <w:t>Enhance R&amp;D capacities on green technologies</w:t>
      </w:r>
      <w:r w:rsidR="0088051B">
        <w:rPr>
          <w:rFonts w:ascii="Times New Roman" w:hAnsi="Times New Roman" w:cs="Times New Roman"/>
          <w:i/>
          <w:sz w:val="24"/>
          <w:szCs w:val="24"/>
        </w:rPr>
        <w:t>.</w:t>
      </w:r>
      <w:r w:rsidRPr="000A5C0F">
        <w:rPr>
          <w:rFonts w:ascii="Times New Roman" w:hAnsi="Times New Roman" w:cs="Times New Roman"/>
          <w:sz w:val="24"/>
          <w:szCs w:val="24"/>
        </w:rPr>
        <w:t xml:space="preserve"> In line with the recommendations to increase government spending on R&amp;D, the</w:t>
      </w:r>
      <w:r w:rsidR="003D04A6">
        <w:rPr>
          <w:rFonts w:ascii="Times New Roman" w:hAnsi="Times New Roman" w:cs="Times New Roman"/>
          <w:sz w:val="24"/>
          <w:szCs w:val="24"/>
        </w:rPr>
        <w:t xml:space="preserve"> SCST</w:t>
      </w:r>
      <w:r w:rsidRPr="000A5C0F">
        <w:rPr>
          <w:rFonts w:ascii="Times New Roman" w:hAnsi="Times New Roman" w:cs="Times New Roman"/>
          <w:sz w:val="24"/>
          <w:szCs w:val="24"/>
        </w:rPr>
        <w:t xml:space="preserve"> should also target this spending in green and eco-innovation projects. In particular, research on energy efficient technologies should be encouraged by competitive allocation of resources. </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88051B">
        <w:rPr>
          <w:rFonts w:ascii="Times New Roman" w:hAnsi="Times New Roman" w:cs="Times New Roman"/>
          <w:i/>
          <w:sz w:val="24"/>
          <w:szCs w:val="24"/>
        </w:rPr>
        <w:t>Seek engagement on international initiatives</w:t>
      </w:r>
      <w:r w:rsidR="0088051B">
        <w:rPr>
          <w:rFonts w:ascii="Times New Roman" w:hAnsi="Times New Roman" w:cs="Times New Roman"/>
          <w:i/>
          <w:sz w:val="24"/>
          <w:szCs w:val="24"/>
        </w:rPr>
        <w:t>.</w:t>
      </w:r>
      <w:r w:rsidRPr="000A5C0F">
        <w:rPr>
          <w:rFonts w:ascii="Times New Roman" w:hAnsi="Times New Roman" w:cs="Times New Roman"/>
          <w:sz w:val="24"/>
          <w:szCs w:val="24"/>
        </w:rPr>
        <w:t xml:space="preserve"> Additional financing could be obtained from international climate funds. Also,</w:t>
      </w:r>
      <w:r w:rsidR="003D04A6">
        <w:rPr>
          <w:rFonts w:ascii="Times New Roman" w:hAnsi="Times New Roman" w:cs="Times New Roman"/>
          <w:sz w:val="24"/>
          <w:szCs w:val="24"/>
        </w:rPr>
        <w:t xml:space="preserve"> SCST and NAS should further stimulate</w:t>
      </w:r>
      <w:r w:rsidRPr="000A5C0F">
        <w:rPr>
          <w:rFonts w:ascii="Times New Roman" w:hAnsi="Times New Roman" w:cs="Times New Roman"/>
          <w:sz w:val="24"/>
          <w:szCs w:val="24"/>
        </w:rPr>
        <w:t xml:space="preserve"> cooperation between national and foreign R&amp;D institutes</w:t>
      </w:r>
      <w:r w:rsidR="003D04A6">
        <w:rPr>
          <w:rFonts w:ascii="Times New Roman" w:hAnsi="Times New Roman" w:cs="Times New Roman"/>
          <w:sz w:val="24"/>
          <w:szCs w:val="24"/>
        </w:rPr>
        <w:t>.</w:t>
      </w:r>
      <w:r w:rsidRPr="000A5C0F">
        <w:rPr>
          <w:rFonts w:ascii="Times New Roman" w:hAnsi="Times New Roman" w:cs="Times New Roman"/>
          <w:sz w:val="24"/>
          <w:szCs w:val="24"/>
        </w:rPr>
        <w:t xml:space="preserve">  </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88051B">
        <w:rPr>
          <w:rFonts w:ascii="Times New Roman" w:hAnsi="Times New Roman" w:cs="Times New Roman"/>
          <w:i/>
          <w:sz w:val="24"/>
          <w:szCs w:val="24"/>
        </w:rPr>
        <w:t>Further deepen awareness campaigns</w:t>
      </w:r>
      <w:r w:rsidR="0088051B">
        <w:rPr>
          <w:rFonts w:ascii="Times New Roman" w:hAnsi="Times New Roman" w:cs="Times New Roman"/>
          <w:i/>
          <w:sz w:val="24"/>
          <w:szCs w:val="24"/>
        </w:rPr>
        <w:t>.</w:t>
      </w:r>
      <w:r w:rsidRPr="000A5C0F">
        <w:rPr>
          <w:rFonts w:ascii="Times New Roman" w:hAnsi="Times New Roman" w:cs="Times New Roman"/>
          <w:sz w:val="24"/>
          <w:szCs w:val="24"/>
        </w:rPr>
        <w:t xml:space="preserve">  </w:t>
      </w:r>
      <w:r w:rsidR="003D04A6">
        <w:rPr>
          <w:rFonts w:ascii="Times New Roman" w:hAnsi="Times New Roman" w:cs="Times New Roman"/>
          <w:sz w:val="24"/>
          <w:szCs w:val="24"/>
        </w:rPr>
        <w:t>Relevant agencies should b</w:t>
      </w:r>
      <w:r w:rsidRPr="000A5C0F">
        <w:rPr>
          <w:rFonts w:ascii="Times New Roman" w:hAnsi="Times New Roman" w:cs="Times New Roman"/>
          <w:sz w:val="24"/>
          <w:szCs w:val="24"/>
        </w:rPr>
        <w:t>uild on existing initiatives with UNDP to further improve education about climate change and the sustainable development goals in education institutions and to address the general public.</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88051B">
        <w:rPr>
          <w:rFonts w:ascii="Times New Roman" w:hAnsi="Times New Roman" w:cs="Times New Roman"/>
          <w:i/>
          <w:sz w:val="24"/>
          <w:szCs w:val="24"/>
        </w:rPr>
        <w:t>Stimulate demand for eco-innovation</w:t>
      </w:r>
      <w:r w:rsidRPr="000A5C0F">
        <w:rPr>
          <w:rFonts w:ascii="Times New Roman" w:hAnsi="Times New Roman" w:cs="Times New Roman"/>
          <w:sz w:val="24"/>
          <w:szCs w:val="24"/>
        </w:rPr>
        <w:t xml:space="preserve">: Green public procurement mechanisms have been considered and could be further developed with the goal to disseminate green products and eco-innovation. In the long run, public procurement processes should be simplified in order to enable SMEs to compete for state contracts on a level playing field. </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Pr="0088051B">
        <w:rPr>
          <w:rFonts w:ascii="Times New Roman" w:hAnsi="Times New Roman" w:cs="Times New Roman"/>
          <w:i/>
          <w:sz w:val="24"/>
          <w:szCs w:val="24"/>
        </w:rPr>
        <w:t>Introduce modern energy-efficiency and fuel-efficiency standards as</w:t>
      </w:r>
      <w:r w:rsidRPr="000A5C0F">
        <w:rPr>
          <w:rFonts w:ascii="Times New Roman" w:hAnsi="Times New Roman" w:cs="Times New Roman"/>
          <w:sz w:val="24"/>
          <w:szCs w:val="24"/>
        </w:rPr>
        <w:t xml:space="preserve"> </w:t>
      </w:r>
      <w:r w:rsidRPr="0088051B">
        <w:rPr>
          <w:rFonts w:ascii="Times New Roman" w:hAnsi="Times New Roman" w:cs="Times New Roman"/>
          <w:i/>
          <w:sz w:val="24"/>
          <w:szCs w:val="24"/>
        </w:rPr>
        <w:t>well as building codes and infrastructure resilience parameters in order to improve sustainability</w:t>
      </w:r>
      <w:r w:rsidR="0088051B">
        <w:rPr>
          <w:rFonts w:ascii="Times New Roman" w:hAnsi="Times New Roman" w:cs="Times New Roman"/>
          <w:sz w:val="24"/>
          <w:szCs w:val="24"/>
        </w:rPr>
        <w:t>.</w:t>
      </w:r>
      <w:r w:rsidRPr="000A5C0F">
        <w:rPr>
          <w:rFonts w:ascii="Times New Roman" w:hAnsi="Times New Roman" w:cs="Times New Roman"/>
          <w:sz w:val="24"/>
          <w:szCs w:val="24"/>
        </w:rPr>
        <w:t xml:space="preserve"> Move towards the cost-reflective pricing of energy and water services with adequate social protection for the poor in order to enhance incentives for the adoption of progressive adaptation technologies and sustainable use of natural resources.</w:t>
      </w:r>
    </w:p>
    <w:p w:rsidR="000A5C0F" w:rsidRPr="000A5C0F" w:rsidRDefault="000A5C0F" w:rsidP="000A5C0F">
      <w:pPr>
        <w:spacing w:after="0" w:line="240" w:lineRule="auto"/>
        <w:jc w:val="both"/>
        <w:rPr>
          <w:rFonts w:ascii="Times New Roman" w:hAnsi="Times New Roman" w:cs="Times New Roman"/>
          <w:sz w:val="24"/>
          <w:szCs w:val="24"/>
        </w:rPr>
      </w:pPr>
    </w:p>
    <w:p w:rsid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Pr="0088051B">
        <w:rPr>
          <w:rFonts w:ascii="Times New Roman" w:hAnsi="Times New Roman" w:cs="Times New Roman"/>
          <w:i/>
          <w:sz w:val="24"/>
          <w:szCs w:val="24"/>
        </w:rPr>
        <w:t>Improve policies for the generation of knowledge, absorptive capacity of the economy</w:t>
      </w:r>
      <w:r w:rsidR="0088051B">
        <w:rPr>
          <w:rFonts w:ascii="Times New Roman" w:hAnsi="Times New Roman" w:cs="Times New Roman"/>
          <w:i/>
          <w:sz w:val="24"/>
          <w:szCs w:val="24"/>
        </w:rPr>
        <w:t>.</w:t>
      </w:r>
      <w:r w:rsidRPr="0088051B">
        <w:rPr>
          <w:rFonts w:ascii="Times New Roman" w:hAnsi="Times New Roman" w:cs="Times New Roman"/>
          <w:i/>
          <w:sz w:val="24"/>
          <w:szCs w:val="24"/>
        </w:rPr>
        <w:t xml:space="preserve"> the diffusion of innovation and demand for innovation</w:t>
      </w:r>
      <w:r w:rsidRPr="000A5C0F">
        <w:rPr>
          <w:rFonts w:ascii="Times New Roman" w:hAnsi="Times New Roman" w:cs="Times New Roman"/>
          <w:sz w:val="24"/>
          <w:szCs w:val="24"/>
        </w:rPr>
        <w:t xml:space="preserve">. Given the complexity of eco-innovation, there is a need for better and more efficient policy coordination both in design and implementation in this area, including capacity building. Also, the authorities should consider introducing specific mechanisms and instruments that encourage and facilitate linkages among stakeholders, For instance, the creation of “green” technology business incubators and </w:t>
      </w:r>
      <w:r w:rsidRPr="000A5C0F">
        <w:rPr>
          <w:rFonts w:ascii="Times New Roman" w:hAnsi="Times New Roman" w:cs="Times New Roman"/>
          <w:sz w:val="24"/>
          <w:szCs w:val="24"/>
        </w:rPr>
        <w:lastRenderedPageBreak/>
        <w:t>technology transfer agencies could be considered that will promote stronger linkages between FDI firms and local subcontractors;</w:t>
      </w:r>
    </w:p>
    <w:p w:rsidR="000A5C0F" w:rsidRPr="000A5C0F" w:rsidRDefault="000A5C0F" w:rsidP="000A5C0F">
      <w:pPr>
        <w:spacing w:after="0" w:line="240" w:lineRule="auto"/>
        <w:jc w:val="both"/>
        <w:rPr>
          <w:rFonts w:ascii="Times New Roman" w:hAnsi="Times New Roman" w:cs="Times New Roman"/>
          <w:sz w:val="24"/>
          <w:szCs w:val="24"/>
        </w:rPr>
      </w:pPr>
    </w:p>
    <w:p w:rsidR="000A5C0F" w:rsidRPr="000A5C0F" w:rsidRDefault="000A5C0F" w:rsidP="000A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5.7 </w:t>
      </w:r>
      <w:r w:rsidRPr="0088051B">
        <w:rPr>
          <w:rFonts w:ascii="Times New Roman" w:hAnsi="Times New Roman" w:cs="Times New Roman"/>
          <w:i/>
          <w:sz w:val="24"/>
          <w:szCs w:val="24"/>
        </w:rPr>
        <w:t>Enhance financial instruments supporting eco-innovation</w:t>
      </w:r>
      <w:r w:rsidRPr="000A5C0F">
        <w:rPr>
          <w:rFonts w:ascii="Times New Roman" w:hAnsi="Times New Roman" w:cs="Times New Roman"/>
          <w:sz w:val="24"/>
          <w:szCs w:val="24"/>
        </w:rPr>
        <w:t>. Firstly, consider introducing grant schemes to support R&amp;D on eco-innovation; Establish project-based eco-innovation financing instruments that encourage the development of industry-science cooperation and inter-firm linkages including by promoting climate-resilient infrastructure throu</w:t>
      </w:r>
      <w:r w:rsidR="00963107">
        <w:rPr>
          <w:rFonts w:ascii="Times New Roman" w:hAnsi="Times New Roman" w:cs="Times New Roman"/>
          <w:sz w:val="24"/>
          <w:szCs w:val="24"/>
        </w:rPr>
        <w:t>gh public-private partnerships.</w:t>
      </w:r>
    </w:p>
    <w:sectPr w:rsidR="000A5C0F" w:rsidRPr="000A5C0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57" w:rsidRDefault="00944D57" w:rsidP="00A55538">
      <w:pPr>
        <w:spacing w:after="0" w:line="240" w:lineRule="auto"/>
      </w:pPr>
      <w:r>
        <w:separator/>
      </w:r>
    </w:p>
  </w:endnote>
  <w:endnote w:type="continuationSeparator" w:id="0">
    <w:p w:rsidR="00944D57" w:rsidRDefault="00944D57" w:rsidP="00A5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74680"/>
      <w:docPartObj>
        <w:docPartGallery w:val="Page Numbers (Bottom of Page)"/>
        <w:docPartUnique/>
      </w:docPartObj>
    </w:sdtPr>
    <w:sdtEndPr>
      <w:rPr>
        <w:noProof/>
      </w:rPr>
    </w:sdtEndPr>
    <w:sdtContent>
      <w:p w:rsidR="00D178EF" w:rsidRDefault="00D178EF">
        <w:pPr>
          <w:pStyle w:val="a8"/>
          <w:jc w:val="right"/>
        </w:pPr>
        <w:r>
          <w:fldChar w:fldCharType="begin"/>
        </w:r>
        <w:r>
          <w:instrText xml:space="preserve"> PAGE   \* MERGEFORMAT </w:instrText>
        </w:r>
        <w:r>
          <w:fldChar w:fldCharType="separate"/>
        </w:r>
        <w:r w:rsidR="00C077F8">
          <w:rPr>
            <w:noProof/>
          </w:rPr>
          <w:t>1</w:t>
        </w:r>
        <w:r>
          <w:rPr>
            <w:noProof/>
          </w:rPr>
          <w:fldChar w:fldCharType="end"/>
        </w:r>
      </w:p>
    </w:sdtContent>
  </w:sdt>
  <w:p w:rsidR="00D178EF" w:rsidRDefault="00D178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57" w:rsidRDefault="00944D57" w:rsidP="00A55538">
      <w:pPr>
        <w:spacing w:after="0" w:line="240" w:lineRule="auto"/>
      </w:pPr>
      <w:r>
        <w:separator/>
      </w:r>
    </w:p>
  </w:footnote>
  <w:footnote w:type="continuationSeparator" w:id="0">
    <w:p w:rsidR="00944D57" w:rsidRDefault="00944D57" w:rsidP="00A55538">
      <w:pPr>
        <w:spacing w:after="0" w:line="240" w:lineRule="auto"/>
      </w:pPr>
      <w:r>
        <w:continuationSeparator/>
      </w:r>
    </w:p>
  </w:footnote>
  <w:footnote w:id="1">
    <w:p w:rsidR="00D178EF" w:rsidRPr="00605D17" w:rsidRDefault="00D178EF">
      <w:pPr>
        <w:pStyle w:val="a3"/>
      </w:pPr>
      <w:r>
        <w:rPr>
          <w:rStyle w:val="a5"/>
        </w:rPr>
        <w:footnoteRef/>
      </w:r>
      <w:r>
        <w:t xml:space="preserve"> </w:t>
      </w:r>
      <w:r w:rsidRPr="00605D17">
        <w:t>Another related issue that was advanced only halfway is the sharing of ownership of such IPRs between the institutes and the teams of researchers that actually performed the R&amp;D activity. Edict 59 in principle opened the way for the sharing of the legal ownership of such IPRs. However, similarly to the above issue, so far there are no specific regulatory mechanisms for implementing shared ownership, so these provisions still only exist formally but are not being implemented in practice.</w:t>
      </w:r>
    </w:p>
  </w:footnote>
  <w:footnote w:id="2">
    <w:p w:rsidR="00D178EF" w:rsidRPr="00DC1D3E" w:rsidRDefault="00D178EF" w:rsidP="00A55538">
      <w:pPr>
        <w:pStyle w:val="a3"/>
      </w:pPr>
      <w:r>
        <w:rPr>
          <w:rStyle w:val="a5"/>
        </w:rPr>
        <w:footnoteRef/>
      </w:r>
      <w:r>
        <w:t xml:space="preserve"> UNECE, </w:t>
      </w:r>
      <w:r w:rsidRPr="00DC7BC8">
        <w:rPr>
          <w:i/>
        </w:rPr>
        <w:t>Innovation Performance Review Belarus</w:t>
      </w:r>
      <w:r>
        <w:t>, New York and Geneva, 2011.</w:t>
      </w:r>
    </w:p>
  </w:footnote>
  <w:footnote w:id="3">
    <w:p w:rsidR="00D178EF" w:rsidRPr="00DA3CD4" w:rsidRDefault="00D178EF" w:rsidP="00A55538">
      <w:pPr>
        <w:pStyle w:val="a3"/>
        <w:rPr>
          <w:lang w:val="fr-CH"/>
        </w:rPr>
      </w:pPr>
      <w:r>
        <w:rPr>
          <w:rStyle w:val="a5"/>
        </w:rPr>
        <w:footnoteRef/>
      </w:r>
      <w:r w:rsidRPr="00DA3CD4">
        <w:rPr>
          <w:lang w:val="fr-CH"/>
        </w:rPr>
        <w:t xml:space="preserve"> </w:t>
      </w:r>
      <w:r>
        <w:rPr>
          <w:lang w:val="fr-CH"/>
        </w:rPr>
        <w:t xml:space="preserve">Source: </w:t>
      </w:r>
      <w:r w:rsidRPr="00DA3CD4">
        <w:rPr>
          <w:lang w:val="fr-CH"/>
        </w:rPr>
        <w:t>http://fp7-nip.org.by/ru/hor20/BelPr/</w:t>
      </w:r>
    </w:p>
  </w:footnote>
  <w:footnote w:id="4">
    <w:p w:rsidR="00D178EF" w:rsidRDefault="00D178EF" w:rsidP="005721FB">
      <w:pPr>
        <w:pStyle w:val="Literatur"/>
        <w:spacing w:before="0" w:after="0" w:line="240" w:lineRule="auto"/>
        <w:ind w:left="0" w:firstLine="0"/>
        <w:rPr>
          <w:rFonts w:ascii="Times New Roman" w:hAnsi="Times New Roman"/>
          <w:sz w:val="20"/>
          <w:szCs w:val="20"/>
          <w:lang w:val="en-US"/>
        </w:rPr>
      </w:pPr>
      <w:r>
        <w:rPr>
          <w:rStyle w:val="a5"/>
        </w:rPr>
        <w:footnoteRef/>
      </w:r>
      <w:r>
        <w:rPr>
          <w:rFonts w:ascii="Times New Roman" w:hAnsi="Times New Roman"/>
          <w:sz w:val="20"/>
          <w:szCs w:val="20"/>
          <w:lang w:val="en-US"/>
        </w:rPr>
        <w:t xml:space="preserve"> T</w:t>
      </w:r>
      <w:r w:rsidRPr="003677ED">
        <w:rPr>
          <w:rFonts w:ascii="Times New Roman" w:hAnsi="Times New Roman"/>
          <w:sz w:val="20"/>
          <w:szCs w:val="20"/>
          <w:lang w:val="en-US"/>
        </w:rPr>
        <w:t>he share o</w:t>
      </w:r>
      <w:r>
        <w:rPr>
          <w:rFonts w:ascii="Times New Roman" w:hAnsi="Times New Roman"/>
          <w:sz w:val="20"/>
          <w:szCs w:val="20"/>
          <w:lang w:val="en-US"/>
        </w:rPr>
        <w:t xml:space="preserve">f employment in high-technology </w:t>
      </w:r>
      <w:r w:rsidRPr="003677ED">
        <w:rPr>
          <w:rFonts w:ascii="Times New Roman" w:hAnsi="Times New Roman"/>
          <w:sz w:val="20"/>
          <w:szCs w:val="20"/>
          <w:lang w:val="en-US"/>
        </w:rPr>
        <w:t>industries in 2014 amounts to 0,93</w:t>
      </w:r>
      <w:r>
        <w:rPr>
          <w:rFonts w:ascii="Times New Roman" w:hAnsi="Times New Roman"/>
          <w:sz w:val="20"/>
          <w:szCs w:val="20"/>
          <w:lang w:val="en-US"/>
        </w:rPr>
        <w:t xml:space="preserve"> per cent</w:t>
      </w:r>
      <w:r w:rsidRPr="003677ED">
        <w:rPr>
          <w:rFonts w:ascii="Times New Roman" w:hAnsi="Times New Roman"/>
          <w:sz w:val="20"/>
          <w:szCs w:val="20"/>
          <w:lang w:val="en-US"/>
        </w:rPr>
        <w:t xml:space="preserve"> compared to 1,25</w:t>
      </w:r>
      <w:r>
        <w:rPr>
          <w:rFonts w:ascii="Times New Roman" w:hAnsi="Times New Roman"/>
          <w:sz w:val="20"/>
          <w:szCs w:val="20"/>
          <w:lang w:val="en-US"/>
        </w:rPr>
        <w:t xml:space="preserve"> per cent</w:t>
      </w:r>
      <w:r w:rsidRPr="003677ED">
        <w:rPr>
          <w:rFonts w:ascii="Times New Roman" w:hAnsi="Times New Roman"/>
          <w:sz w:val="20"/>
          <w:szCs w:val="20"/>
          <w:lang w:val="en-US"/>
        </w:rPr>
        <w:t xml:space="preserve"> in 2010; the same applies to medium high-technology industries with a decrease from 7,4</w:t>
      </w:r>
      <w:r>
        <w:rPr>
          <w:rFonts w:ascii="Times New Roman" w:hAnsi="Times New Roman"/>
          <w:sz w:val="20"/>
          <w:szCs w:val="20"/>
          <w:lang w:val="en-US"/>
        </w:rPr>
        <w:t xml:space="preserve"> per cent</w:t>
      </w:r>
      <w:r w:rsidRPr="003677ED">
        <w:rPr>
          <w:rFonts w:ascii="Times New Roman" w:hAnsi="Times New Roman"/>
          <w:sz w:val="20"/>
          <w:szCs w:val="20"/>
          <w:lang w:val="en-US"/>
        </w:rPr>
        <w:t xml:space="preserve"> </w:t>
      </w:r>
      <w:r>
        <w:rPr>
          <w:rFonts w:ascii="Times New Roman" w:hAnsi="Times New Roman"/>
          <w:sz w:val="20"/>
          <w:szCs w:val="20"/>
          <w:lang w:val="en-US"/>
        </w:rPr>
        <w:t>t</w:t>
      </w:r>
      <w:r w:rsidRPr="003677ED">
        <w:rPr>
          <w:rFonts w:ascii="Times New Roman" w:hAnsi="Times New Roman"/>
          <w:sz w:val="20"/>
          <w:szCs w:val="20"/>
          <w:lang w:val="en-US"/>
        </w:rPr>
        <w:t>o 6,8</w:t>
      </w:r>
      <w:r>
        <w:rPr>
          <w:rFonts w:ascii="Times New Roman" w:hAnsi="Times New Roman"/>
          <w:sz w:val="20"/>
          <w:szCs w:val="20"/>
          <w:lang w:val="en-US"/>
        </w:rPr>
        <w:t xml:space="preserve"> per cent </w:t>
      </w:r>
      <w:r w:rsidRPr="003677ED">
        <w:rPr>
          <w:rFonts w:ascii="Times New Roman" w:hAnsi="Times New Roman"/>
          <w:sz w:val="20"/>
          <w:szCs w:val="20"/>
          <w:lang w:val="en-US"/>
        </w:rPr>
        <w:t xml:space="preserve">UNESCO (2015): </w:t>
      </w:r>
      <w:r w:rsidRPr="003677ED">
        <w:rPr>
          <w:rFonts w:ascii="Times New Roman" w:hAnsi="Times New Roman"/>
          <w:i/>
          <w:sz w:val="20"/>
          <w:szCs w:val="20"/>
          <w:lang w:val="en-US"/>
        </w:rPr>
        <w:t>UNESCO Science Report Towards 2030</w:t>
      </w:r>
      <w:r>
        <w:rPr>
          <w:rFonts w:ascii="Times New Roman" w:hAnsi="Times New Roman"/>
          <w:sz w:val="20"/>
          <w:szCs w:val="20"/>
          <w:lang w:val="en-US"/>
        </w:rPr>
        <w:t>.</w:t>
      </w:r>
    </w:p>
    <w:p w:rsidR="00D178EF" w:rsidRPr="00B96ACC" w:rsidRDefault="00D178EF" w:rsidP="005721FB">
      <w:pPr>
        <w:pStyle w:val="a3"/>
        <w:rPr>
          <w:lang w:val="en-US"/>
        </w:rPr>
      </w:pPr>
    </w:p>
  </w:footnote>
  <w:footnote w:id="5">
    <w:p w:rsidR="00D178EF" w:rsidRPr="00D9045D" w:rsidRDefault="00D178EF">
      <w:pPr>
        <w:pStyle w:val="a3"/>
      </w:pPr>
      <w:r>
        <w:rPr>
          <w:rStyle w:val="a5"/>
        </w:rPr>
        <w:footnoteRef/>
      </w:r>
      <w:r>
        <w:t xml:space="preserve"> S</w:t>
      </w:r>
      <w:r w:rsidRPr="00D9045D">
        <w:t>ee http://belarusfacts.by</w:t>
      </w:r>
    </w:p>
  </w:footnote>
  <w:footnote w:id="6">
    <w:p w:rsidR="00D178EF" w:rsidRPr="00CA0CDF" w:rsidRDefault="00D178EF">
      <w:pPr>
        <w:pStyle w:val="a3"/>
      </w:pPr>
      <w:r>
        <w:rPr>
          <w:rStyle w:val="a5"/>
        </w:rPr>
        <w:footnoteRef/>
      </w:r>
      <w:r>
        <w:t xml:space="preserve"> </w:t>
      </w:r>
      <w:r w:rsidRPr="00CA0CDF">
        <w:t>See http://belarusfacts.by</w:t>
      </w:r>
    </w:p>
  </w:footnote>
  <w:footnote w:id="7">
    <w:p w:rsidR="00D178EF" w:rsidRPr="00F62946" w:rsidRDefault="00D178EF" w:rsidP="00297B88">
      <w:pPr>
        <w:pStyle w:val="a3"/>
        <w:rPr>
          <w:lang w:val="en-US"/>
        </w:rPr>
      </w:pPr>
      <w:r>
        <w:rPr>
          <w:rStyle w:val="a5"/>
        </w:rPr>
        <w:footnoteRef/>
      </w:r>
      <w:r>
        <w:t xml:space="preserve"> </w:t>
      </w:r>
      <w:r w:rsidRPr="00B217FF">
        <w:t>State Committee on Science and Technology of</w:t>
      </w:r>
      <w:r>
        <w:t xml:space="preserve"> </w:t>
      </w:r>
      <w:r w:rsidRPr="00B217FF">
        <w:t>the Republic of Belarus: Belarus in Figures, Minsk 2015.</w:t>
      </w:r>
      <w:r w:rsidRPr="00F62946">
        <w:rPr>
          <w:lang w:val="en-US"/>
        </w:rPr>
        <w:t xml:space="preserve"> </w:t>
      </w:r>
    </w:p>
  </w:footnote>
  <w:footnote w:id="8">
    <w:p w:rsidR="00D178EF" w:rsidRPr="00752148" w:rsidRDefault="00D178EF" w:rsidP="00575FE8">
      <w:pPr>
        <w:pStyle w:val="a3"/>
      </w:pPr>
      <w:r>
        <w:rPr>
          <w:rStyle w:val="a5"/>
        </w:rPr>
        <w:footnoteRef/>
      </w:r>
      <w:r>
        <w:t xml:space="preserve"> In addition to The Development Bank, the most important Belarusian Banks for SME support are Belgazprom Bank, BPS Sberbank, and MTB Bank.        </w:t>
      </w:r>
    </w:p>
  </w:footnote>
  <w:footnote w:id="9">
    <w:p w:rsidR="00D178EF" w:rsidRPr="00F62946" w:rsidRDefault="00D178EF" w:rsidP="00575FE8">
      <w:pPr>
        <w:pStyle w:val="a3"/>
        <w:rPr>
          <w:lang w:val="en-US"/>
        </w:rPr>
      </w:pPr>
      <w:r>
        <w:rPr>
          <w:rStyle w:val="a5"/>
        </w:rPr>
        <w:footnoteRef/>
      </w:r>
      <w:r>
        <w:t xml:space="preserve"> The current amount of both funds, innovation and investment fund is 1,5-1,6 trillion Rubles. </w:t>
      </w:r>
      <w:r w:rsidRPr="00351F35">
        <w:t>The 7 regional/local funds will not be touched; the use of these funds is under the supervision of the State Committee on Science and Technology (interview at the State Committee on Science and Technology)</w:t>
      </w:r>
    </w:p>
  </w:footnote>
  <w:footnote w:id="10">
    <w:p w:rsidR="00D178EF" w:rsidRPr="00057380" w:rsidRDefault="00D178EF" w:rsidP="00575FE8">
      <w:pPr>
        <w:pStyle w:val="a3"/>
      </w:pPr>
      <w:r>
        <w:rPr>
          <w:rStyle w:val="a5"/>
        </w:rPr>
        <w:footnoteRef/>
      </w:r>
      <w:r>
        <w:t xml:space="preserve"> </w:t>
      </w:r>
      <w:r w:rsidRPr="00057380">
        <w:t xml:space="preserve">A draft Programme for Entrepreneurship Development is currently developed. </w:t>
      </w:r>
    </w:p>
  </w:footnote>
  <w:footnote w:id="11">
    <w:p w:rsidR="00D178EF" w:rsidRPr="00F62946" w:rsidRDefault="00D178EF" w:rsidP="00575FE8">
      <w:pPr>
        <w:pStyle w:val="a3"/>
        <w:rPr>
          <w:lang w:val="en-US"/>
        </w:rPr>
      </w:pPr>
      <w:r w:rsidRPr="00057380">
        <w:rPr>
          <w:rStyle w:val="a5"/>
        </w:rPr>
        <w:footnoteRef/>
      </w:r>
      <w:r w:rsidRPr="00057380">
        <w:t xml:space="preserve"> According to </w:t>
      </w:r>
      <w:hyperlink r:id="rId1" w:history="1">
        <w:r w:rsidRPr="00057380">
          <w:rPr>
            <w:rStyle w:val="af"/>
          </w:rPr>
          <w:t>http://ictt.by</w:t>
        </w:r>
      </w:hyperlink>
      <w:r w:rsidRPr="00057380">
        <w:t xml:space="preserve"> the following</w:t>
      </w:r>
      <w:r>
        <w:t xml:space="preserve"> crowd-funding platforms exist: Ulej, StartIdea, MaeSensa and Talaka. </w:t>
      </w:r>
      <w:r w:rsidRPr="00F62946">
        <w:rPr>
          <w:lang w:val="en-US"/>
        </w:rPr>
        <w:t xml:space="preserve">  </w:t>
      </w:r>
    </w:p>
  </w:footnote>
  <w:footnote w:id="12">
    <w:p w:rsidR="00D178EF" w:rsidRPr="00F62946" w:rsidRDefault="00D178EF" w:rsidP="00575FE8">
      <w:pPr>
        <w:pStyle w:val="a3"/>
        <w:rPr>
          <w:lang w:val="en-US"/>
        </w:rPr>
      </w:pPr>
      <w:r>
        <w:rPr>
          <w:rStyle w:val="a5"/>
        </w:rPr>
        <w:footnoteRef/>
      </w:r>
      <w:r>
        <w:t xml:space="preserve"> </w:t>
      </w:r>
      <w:r w:rsidRPr="005D32FB">
        <w:t>Respective programmes which have been implemented (and mostly completed in 2015)</w:t>
      </w:r>
      <w:r>
        <w:t xml:space="preserve"> focus on biotechnology, the creation of high-technology in industry, and the development of new technologies in agriculture. </w:t>
      </w:r>
      <w:r w:rsidRPr="00F62946">
        <w:rPr>
          <w:lang w:val="en-US"/>
        </w:rPr>
        <w:t xml:space="preserve"> </w:t>
      </w:r>
    </w:p>
  </w:footnote>
  <w:footnote w:id="13">
    <w:p w:rsidR="00D178EF" w:rsidRPr="00F62946" w:rsidRDefault="00D178EF" w:rsidP="00575FE8">
      <w:pPr>
        <w:pStyle w:val="a3"/>
        <w:rPr>
          <w:lang w:val="en-US"/>
        </w:rPr>
      </w:pPr>
      <w:r>
        <w:rPr>
          <w:rStyle w:val="a5"/>
        </w:rPr>
        <w:footnoteRef/>
      </w:r>
      <w:r>
        <w:t xml:space="preserve"> </w:t>
      </w:r>
      <w:r w:rsidRPr="00741419">
        <w:t>Currently, 70</w:t>
      </w:r>
      <w:r>
        <w:t xml:space="preserve"> per cent</w:t>
      </w:r>
      <w:r w:rsidRPr="00741419">
        <w:t xml:space="preserve"> of the total budget of NAS is </w:t>
      </w:r>
      <w:r w:rsidRPr="00AD3D95">
        <w:t>generated by production facilities, only 30</w:t>
      </w:r>
      <w:r>
        <w:t xml:space="preserve"> per cent</w:t>
      </w:r>
      <w:r w:rsidRPr="00AD3D95">
        <w:t xml:space="preserve"> come from the state-budget. There are 10 such </w:t>
      </w:r>
      <w:r>
        <w:t>companies, which make a signific</w:t>
      </w:r>
      <w:r w:rsidRPr="00AD3D95">
        <w:t>ant contribution to the NAS budget.</w:t>
      </w:r>
      <w:r w:rsidRPr="00F62946">
        <w:rPr>
          <w:lang w:val="en-US"/>
        </w:rPr>
        <w:t xml:space="preserve"> </w:t>
      </w:r>
    </w:p>
  </w:footnote>
  <w:footnote w:id="14">
    <w:p w:rsidR="00D178EF" w:rsidRPr="00A93193" w:rsidRDefault="00D178EF" w:rsidP="00575FE8">
      <w:pPr>
        <w:pStyle w:val="a3"/>
        <w:rPr>
          <w:lang w:val="en-US"/>
        </w:rPr>
      </w:pPr>
      <w:r>
        <w:rPr>
          <w:rStyle w:val="a5"/>
        </w:rPr>
        <w:footnoteRef/>
      </w:r>
      <w:r>
        <w:t xml:space="preserve"> The following Techno-parks, Science parks and Industrial Parks have been established in Belarus: High-Tech Park, Techno-park at Technical University (“Polytechnic”), Minsk City Industrial Park, Minsk Regional Industrial Park, Techno-park “MOGILEV”, Gomel Scientific and Technological Park, Infopark, and Science and Technology Park BOKUP. S</w:t>
      </w:r>
      <w:r w:rsidRPr="00000C01">
        <w:t xml:space="preserve">ee </w:t>
      </w:r>
      <w:hyperlink r:id="rId2" w:history="1">
        <w:r w:rsidRPr="00B97B83">
          <w:rPr>
            <w:rStyle w:val="af"/>
          </w:rPr>
          <w:t>http://ictt.by</w:t>
        </w:r>
      </w:hyperlink>
      <w:r>
        <w:t xml:space="preserve"> (accessed 16 June 2016).</w:t>
      </w:r>
    </w:p>
  </w:footnote>
  <w:footnote w:id="15">
    <w:p w:rsidR="00D178EF" w:rsidRPr="00423ABD" w:rsidRDefault="00D178EF">
      <w:pPr>
        <w:pStyle w:val="a3"/>
      </w:pPr>
      <w:r>
        <w:rPr>
          <w:rStyle w:val="a5"/>
        </w:rPr>
        <w:footnoteRef/>
      </w:r>
      <w:r>
        <w:t xml:space="preserve"> </w:t>
      </w:r>
      <w:r w:rsidRPr="00423ABD">
        <w:t>Although its framework divides indicators into input and output the issue of cause and effect remains unclear. Business sophistication is as much output as input. Also, its innovation outputs are much more representative of the world frontier economies and regions rather than reflection of growth drivers of middle and upper middle income economies</w:t>
      </w:r>
      <w:r>
        <w:t xml:space="preserve">. </w:t>
      </w:r>
      <w:r w:rsidRPr="00423ABD">
        <w:t>Still, its impressive coverage of the range of innovation activities makes it relevant benchmark for Belarus as long as we recognise that its focus is much more on the variegated nature of innovation activities rather than on links between innovation and growth</w:t>
      </w:r>
    </w:p>
  </w:footnote>
  <w:footnote w:id="16">
    <w:p w:rsidR="00D178EF" w:rsidRDefault="00D178EF" w:rsidP="00C41B59">
      <w:pPr>
        <w:pStyle w:val="a3"/>
      </w:pPr>
      <w:r>
        <w:rPr>
          <w:rStyle w:val="a5"/>
        </w:rPr>
        <w:footnoteRef/>
      </w:r>
      <w:r>
        <w:t xml:space="preserve"> Total number of years of schooling that a child of a certain age can expect to receive in the future, assuming that the probability of his or her being enrolled in school at any particular age is equal to the current enrolment ratio for that age Source: UNESCO/GII </w:t>
      </w:r>
    </w:p>
  </w:footnote>
  <w:footnote w:id="17">
    <w:p w:rsidR="00D178EF" w:rsidRDefault="00D178EF" w:rsidP="00C41B59">
      <w:pPr>
        <w:pStyle w:val="a3"/>
      </w:pPr>
      <w:r>
        <w:rPr>
          <w:rStyle w:val="a5"/>
        </w:rPr>
        <w:footnoteRef/>
      </w:r>
      <w:r>
        <w:t xml:space="preserve"> The number of students from abroad studying in a given country, as a percentage of the total tertiary enrolment in that country. Source: UNESCO/GII</w:t>
      </w:r>
    </w:p>
  </w:footnote>
  <w:footnote w:id="18">
    <w:p w:rsidR="00D178EF" w:rsidRDefault="00D178EF" w:rsidP="00C41B59">
      <w:pPr>
        <w:pStyle w:val="a3"/>
      </w:pPr>
      <w:r>
        <w:rPr>
          <w:rStyle w:val="a5"/>
        </w:rPr>
        <w:footnoteRef/>
      </w:r>
      <w:r>
        <w:t xml:space="preserve"> General infrastructure is measured as composite of e</w:t>
      </w:r>
      <w:r w:rsidRPr="00DE6DE0">
        <w:t>lectricity</w:t>
      </w:r>
      <w:r>
        <w:t xml:space="preserve"> output per capita, </w:t>
      </w:r>
      <w:r w:rsidRPr="00DE6DE0">
        <w:t>logistics</w:t>
      </w:r>
      <w:r>
        <w:t xml:space="preserve"> performance and gross capital formation. </w:t>
      </w:r>
    </w:p>
  </w:footnote>
  <w:footnote w:id="19">
    <w:p w:rsidR="00D178EF" w:rsidRDefault="00D178EF" w:rsidP="00C41B59">
      <w:pPr>
        <w:pStyle w:val="a3"/>
      </w:pPr>
      <w:r>
        <w:rPr>
          <w:rStyle w:val="a5"/>
        </w:rPr>
        <w:footnoteRef/>
      </w:r>
      <w:r>
        <w:t xml:space="preserve"> Ecological sustainability is measured as composite of </w:t>
      </w:r>
      <w:r w:rsidRPr="00DE6DE0">
        <w:t>GDP per energy use, Yal</w:t>
      </w:r>
      <w:r>
        <w:t>e</w:t>
      </w:r>
      <w:r w:rsidRPr="00DE6DE0">
        <w:t xml:space="preserve"> university environmental performance index, </w:t>
      </w:r>
      <w:r>
        <w:t xml:space="preserve">and </w:t>
      </w:r>
      <w:r w:rsidRPr="00DE6DE0">
        <w:t>ISO environment certificates</w:t>
      </w:r>
      <w:r>
        <w:t xml:space="preserve">. </w:t>
      </w:r>
    </w:p>
  </w:footnote>
  <w:footnote w:id="20">
    <w:p w:rsidR="00D178EF" w:rsidRPr="0084317D" w:rsidRDefault="00D178EF">
      <w:pPr>
        <w:pStyle w:val="a3"/>
      </w:pPr>
      <w:r>
        <w:rPr>
          <w:rStyle w:val="a5"/>
        </w:rPr>
        <w:footnoteRef/>
      </w:r>
      <w:r>
        <w:t xml:space="preserve"> </w:t>
      </w:r>
      <w:r w:rsidRPr="0084317D">
        <w:t>On the other hand, IUS does involve non-R&amp;D activities data as much as they are available from the EU innovation surveys. It is important to recognise that growth is a much broader phenomenon, and the IUS is capturing very well its R&amp;D based component. In that respect, its usefulness is relatively smaller for less developed EU economies or middle-income economies when compared to those whose firms operate at technology frontier.</w:t>
      </w:r>
    </w:p>
  </w:footnote>
  <w:footnote w:id="21">
    <w:p w:rsidR="00D178EF" w:rsidRPr="00A81C8C" w:rsidRDefault="00D178EF" w:rsidP="0085082E">
      <w:pPr>
        <w:pStyle w:val="a3"/>
        <w:rPr>
          <w:lang w:val="hu-HU"/>
        </w:rPr>
      </w:pPr>
      <w:r>
        <w:rPr>
          <w:rStyle w:val="a5"/>
        </w:rPr>
        <w:footnoteRef/>
      </w:r>
      <w:r>
        <w:t xml:space="preserve"> </w:t>
      </w:r>
      <w:r w:rsidRPr="00A81C8C">
        <w:rPr>
          <w:lang w:val="en-US"/>
        </w:rPr>
        <w:t xml:space="preserve">According to the Civil Code of the Republic of Belarus, a republican unitary enterprise is </w:t>
      </w:r>
      <w:r>
        <w:rPr>
          <w:lang w:val="en-US"/>
        </w:rPr>
        <w:t>an</w:t>
      </w:r>
      <w:r w:rsidRPr="00A81C8C">
        <w:rPr>
          <w:lang w:val="en-US"/>
        </w:rPr>
        <w:t xml:space="preserve"> organization </w:t>
      </w:r>
      <w:r>
        <w:rPr>
          <w:lang w:val="en-US"/>
        </w:rPr>
        <w:t xml:space="preserve">that </w:t>
      </w:r>
      <w:r w:rsidRPr="00A81C8C">
        <w:rPr>
          <w:lang w:val="en-US"/>
        </w:rPr>
        <w:t xml:space="preserve">belongs to the Republic of Belarus but is managed </w:t>
      </w:r>
      <w:r>
        <w:rPr>
          <w:lang w:val="en-US"/>
        </w:rPr>
        <w:t>as</w:t>
      </w:r>
      <w:r w:rsidRPr="00A81C8C">
        <w:rPr>
          <w:lang w:val="en-US"/>
        </w:rPr>
        <w:t xml:space="preserve"> an enterprise</w:t>
      </w:r>
      <w:r>
        <w:rPr>
          <w:lang w:val="en-US"/>
        </w:rPr>
        <w:t xml:space="preserve"> with commercial purposes</w:t>
      </w:r>
      <w:r w:rsidRPr="00A81C8C">
        <w:rPr>
          <w:lang w:val="en-US"/>
        </w:rPr>
        <w:t>.</w:t>
      </w:r>
      <w:r>
        <w:rPr>
          <w:lang w:val="en-US"/>
        </w:rPr>
        <w:t xml:space="preserve"> </w:t>
      </w:r>
    </w:p>
  </w:footnote>
  <w:footnote w:id="22">
    <w:p w:rsidR="00D178EF" w:rsidRPr="00216290" w:rsidRDefault="00D178EF" w:rsidP="0085082E">
      <w:pPr>
        <w:spacing w:after="0" w:line="240" w:lineRule="auto"/>
        <w:jc w:val="both"/>
        <w:rPr>
          <w:rFonts w:ascii="Times New Roman" w:hAnsi="Times New Roman"/>
        </w:rPr>
      </w:pPr>
      <w:r w:rsidRPr="00216290">
        <w:rPr>
          <w:rStyle w:val="a5"/>
        </w:rPr>
        <w:footnoteRef/>
      </w:r>
      <w:r>
        <w:rPr>
          <w:rFonts w:ascii="Times New Roman" w:hAnsi="Times New Roman"/>
          <w:sz w:val="20"/>
          <w:szCs w:val="20"/>
        </w:rPr>
        <w:t xml:space="preserve"> </w:t>
      </w:r>
      <w:r w:rsidRPr="0085082E">
        <w:rPr>
          <w:rFonts w:ascii="Times New Roman" w:hAnsi="Times New Roman" w:cs="Times New Roman"/>
          <w:color w:val="222222"/>
          <w:sz w:val="20"/>
          <w:szCs w:val="19"/>
          <w:shd w:val="clear" w:color="auto" w:fill="FFFFFF"/>
        </w:rPr>
        <w:t>See in Regulation the Council of Ministers of the Republic of Belarus, 2014 No. 27, On approval of the concept of formation and development of innovative industrial clusters in the Republic of Belarus and its realization (pp.4-5).</w:t>
      </w:r>
    </w:p>
  </w:footnote>
  <w:footnote w:id="23">
    <w:p w:rsidR="00D178EF" w:rsidRPr="000F0933" w:rsidRDefault="00D178EF" w:rsidP="00E117A4">
      <w:pPr>
        <w:pStyle w:val="a3"/>
        <w:rPr>
          <w:lang w:val="hu-HU"/>
        </w:rPr>
      </w:pPr>
      <w:r>
        <w:rPr>
          <w:rStyle w:val="a5"/>
        </w:rPr>
        <w:footnoteRef/>
      </w:r>
      <w:r>
        <w:t xml:space="preserve"> </w:t>
      </w:r>
      <w:r w:rsidRPr="00491F13">
        <w:rPr>
          <w:color w:val="222222"/>
          <w:shd w:val="clear" w:color="auto" w:fill="FFFFFF"/>
        </w:rPr>
        <w:t>BelStat Science and Innovation Activity in</w:t>
      </w:r>
      <w:r>
        <w:rPr>
          <w:color w:val="222222"/>
          <w:shd w:val="clear" w:color="auto" w:fill="FFFFFF"/>
        </w:rPr>
        <w:t xml:space="preserve"> </w:t>
      </w:r>
      <w:r w:rsidRPr="00491F13">
        <w:rPr>
          <w:color w:val="222222"/>
          <w:shd w:val="clear" w:color="auto" w:fill="FFFFFF"/>
        </w:rPr>
        <w:t xml:space="preserve">the Republic of Belarus, Statistical Book, National Committee of the Republic of Belarus, Minsk 2015 from table </w:t>
      </w:r>
      <w:r>
        <w:rPr>
          <w:lang w:val="hu-HU"/>
        </w:rPr>
        <w:t>6.6</w:t>
      </w:r>
    </w:p>
  </w:footnote>
  <w:footnote w:id="24">
    <w:p w:rsidR="00D178EF" w:rsidRPr="008F4A5F" w:rsidRDefault="00D178EF" w:rsidP="0054236B">
      <w:pPr>
        <w:autoSpaceDE w:val="0"/>
        <w:autoSpaceDN w:val="0"/>
        <w:spacing w:line="240" w:lineRule="auto"/>
        <w:jc w:val="both"/>
        <w:rPr>
          <w:lang w:val="ru-RU"/>
        </w:rPr>
      </w:pPr>
      <w:r w:rsidRPr="00EE1CE8">
        <w:rPr>
          <w:rStyle w:val="a5"/>
        </w:rPr>
        <w:footnoteRef/>
      </w:r>
      <w:r w:rsidRPr="00EE1CE8">
        <w:t xml:space="preserve"> </w:t>
      </w:r>
      <w:r w:rsidRPr="00EE1CE8">
        <w:rPr>
          <w:rFonts w:ascii="Times New Roman" w:hAnsi="Times New Roman"/>
          <w:sz w:val="20"/>
        </w:rPr>
        <w:t xml:space="preserve">Statistical data on SMEs are from </w:t>
      </w:r>
      <w:r w:rsidRPr="00EE1CE8">
        <w:rPr>
          <w:rFonts w:ascii="Times New Roman" w:eastAsia="Times New Roman" w:hAnsi="Times New Roman"/>
          <w:bCs/>
          <w:i/>
          <w:sz w:val="20"/>
          <w:szCs w:val="20"/>
          <w:lang w:eastAsia="hu-HU"/>
        </w:rPr>
        <w:t xml:space="preserve">Small and Medium-sized Business in the Republic of </w:t>
      </w:r>
      <w:r w:rsidRPr="00EE1CE8">
        <w:rPr>
          <w:rFonts w:ascii="Times New Roman" w:eastAsia="Times New Roman" w:hAnsi="Times New Roman"/>
          <w:bCs/>
          <w:sz w:val="20"/>
          <w:szCs w:val="20"/>
          <w:lang w:eastAsia="hu-HU"/>
        </w:rPr>
        <w:t>Belarus, Statistical data book, 2014, National Statistical C</w:t>
      </w:r>
      <w:r>
        <w:rPr>
          <w:rFonts w:ascii="Times New Roman" w:eastAsia="Times New Roman" w:hAnsi="Times New Roman"/>
          <w:bCs/>
          <w:sz w:val="20"/>
          <w:szCs w:val="20"/>
          <w:lang w:eastAsia="hu-HU"/>
        </w:rPr>
        <w:t>ommittee of the Republic of Bel</w:t>
      </w:r>
      <w:r w:rsidRPr="00EE1CE8">
        <w:rPr>
          <w:rFonts w:ascii="Times New Roman" w:eastAsia="Times New Roman" w:hAnsi="Times New Roman"/>
          <w:bCs/>
          <w:sz w:val="20"/>
          <w:szCs w:val="20"/>
          <w:lang w:eastAsia="hu-HU"/>
        </w:rPr>
        <w:t xml:space="preserve">arus, Minsk tables 1.1.1, 1.5.3., 1.5.4. </w:t>
      </w:r>
      <w:r w:rsidRPr="008F4A5F">
        <w:rPr>
          <w:rFonts w:ascii="Times New Roman" w:eastAsia="Times New Roman" w:hAnsi="Times New Roman"/>
          <w:bCs/>
          <w:sz w:val="20"/>
          <w:szCs w:val="20"/>
          <w:lang w:val="ru-RU" w:eastAsia="hu-HU"/>
        </w:rPr>
        <w:t>1.5.6, 1.9.1</w:t>
      </w:r>
    </w:p>
  </w:footnote>
  <w:footnote w:id="25">
    <w:p w:rsidR="00D178EF" w:rsidRPr="00E117A4" w:rsidRDefault="00D178EF" w:rsidP="00630448">
      <w:pPr>
        <w:spacing w:after="0" w:line="240" w:lineRule="auto"/>
        <w:jc w:val="both"/>
        <w:rPr>
          <w:rFonts w:ascii="Times New Roman" w:hAnsi="Times New Roman"/>
          <w:sz w:val="20"/>
          <w:szCs w:val="20"/>
          <w:lang w:val="ru-RU"/>
        </w:rPr>
      </w:pPr>
      <w:r w:rsidRPr="00491F13">
        <w:rPr>
          <w:rStyle w:val="a5"/>
          <w:rFonts w:ascii="Times New Roman" w:hAnsi="Times New Roman"/>
          <w:sz w:val="20"/>
          <w:szCs w:val="20"/>
        </w:rPr>
        <w:footnoteRef/>
      </w:r>
      <w:r w:rsidRPr="00491F13">
        <w:rPr>
          <w:rFonts w:ascii="Times New Roman" w:hAnsi="Times New Roman"/>
          <w:sz w:val="20"/>
          <w:szCs w:val="20"/>
          <w:lang w:val="hu-HU"/>
        </w:rPr>
        <w:t xml:space="preserve"> </w:t>
      </w:r>
      <w:r w:rsidRPr="00E117A4">
        <w:rPr>
          <w:rFonts w:ascii="Times New Roman" w:hAnsi="Times New Roman"/>
          <w:sz w:val="20"/>
          <w:szCs w:val="20"/>
          <w:lang w:val="ru-RU"/>
        </w:rPr>
        <w:t>ОТЧЕТ</w:t>
      </w:r>
      <w:r w:rsidRPr="00491F13">
        <w:rPr>
          <w:rFonts w:ascii="Times New Roman" w:hAnsi="Times New Roman"/>
          <w:sz w:val="20"/>
          <w:szCs w:val="20"/>
          <w:lang w:val="hu-HU"/>
        </w:rPr>
        <w:t xml:space="preserve"> </w:t>
      </w:r>
      <w:r w:rsidRPr="00E117A4">
        <w:rPr>
          <w:rFonts w:ascii="Times New Roman" w:hAnsi="Times New Roman"/>
          <w:sz w:val="20"/>
          <w:szCs w:val="20"/>
          <w:lang w:val="ru-RU"/>
        </w:rPr>
        <w:t>О НАУЧНО-ИССЛЕДОВАТЕЛЬСКОЙ РАБОТЕ</w:t>
      </w:r>
      <w:r w:rsidRPr="00491F13">
        <w:rPr>
          <w:rFonts w:ascii="Times New Roman" w:hAnsi="Times New Roman"/>
          <w:sz w:val="20"/>
          <w:szCs w:val="20"/>
          <w:lang w:val="hu-HU"/>
        </w:rPr>
        <w:t xml:space="preserve"> </w:t>
      </w:r>
      <w:r w:rsidRPr="00E117A4">
        <w:rPr>
          <w:rFonts w:ascii="Times New Roman" w:hAnsi="Times New Roman"/>
          <w:bCs/>
          <w:sz w:val="20"/>
          <w:szCs w:val="20"/>
          <w:lang w:val="ru-RU"/>
        </w:rPr>
        <w:t>«</w:t>
      </w:r>
      <w:r w:rsidRPr="00E117A4">
        <w:rPr>
          <w:rFonts w:ascii="Times New Roman" w:hAnsi="Times New Roman"/>
          <w:sz w:val="20"/>
          <w:szCs w:val="20"/>
          <w:lang w:val="ru-RU"/>
        </w:rPr>
        <w:t>Межстрановая оценка состояния научно-технической и инновационной сферы Республики Беларусь на основе анализа международных статистических данных и рейтингов и предложения по улучшению позиций Республики Беларусь в этих рейтингах</w:t>
      </w:r>
      <w:r w:rsidRPr="00E117A4">
        <w:rPr>
          <w:rFonts w:ascii="Times New Roman" w:hAnsi="Times New Roman"/>
          <w:bCs/>
          <w:sz w:val="20"/>
          <w:szCs w:val="20"/>
          <w:lang w:val="ru-RU"/>
        </w:rPr>
        <w:t>»</w:t>
      </w:r>
      <w:r w:rsidRPr="00491F13">
        <w:rPr>
          <w:rFonts w:ascii="Times New Roman" w:hAnsi="Times New Roman"/>
          <w:bCs/>
          <w:sz w:val="20"/>
          <w:szCs w:val="20"/>
          <w:lang w:val="hu-HU"/>
        </w:rPr>
        <w:t xml:space="preserve"> </w:t>
      </w:r>
      <w:r w:rsidRPr="00E117A4">
        <w:rPr>
          <w:rFonts w:ascii="Times New Roman" w:hAnsi="Times New Roman"/>
          <w:sz w:val="20"/>
          <w:szCs w:val="20"/>
          <w:lang w:val="ru-RU"/>
        </w:rPr>
        <w:t>(заключительный)</w:t>
      </w:r>
      <w:r w:rsidRPr="00491F13">
        <w:rPr>
          <w:rFonts w:ascii="Times New Roman" w:hAnsi="Times New Roman"/>
          <w:sz w:val="20"/>
          <w:szCs w:val="20"/>
          <w:lang w:val="hu-HU"/>
        </w:rPr>
        <w:t xml:space="preserve"> </w:t>
      </w:r>
      <w:r w:rsidRPr="00E117A4">
        <w:rPr>
          <w:rFonts w:ascii="Times New Roman" w:hAnsi="Times New Roman"/>
          <w:sz w:val="20"/>
          <w:szCs w:val="20"/>
          <w:lang w:val="ru-RU"/>
        </w:rPr>
        <w:t>Государственный комитет по науке и технологиям</w:t>
      </w:r>
      <w:r w:rsidRPr="00491F13">
        <w:rPr>
          <w:rFonts w:ascii="Times New Roman" w:hAnsi="Times New Roman"/>
          <w:sz w:val="20"/>
          <w:szCs w:val="20"/>
          <w:lang w:val="hu-HU"/>
        </w:rPr>
        <w:t>;</w:t>
      </w:r>
      <w:r w:rsidRPr="00E117A4">
        <w:rPr>
          <w:rFonts w:ascii="Times New Roman" w:hAnsi="Times New Roman"/>
          <w:sz w:val="20"/>
          <w:szCs w:val="20"/>
          <w:lang w:val="ru-RU"/>
        </w:rPr>
        <w:t>Республики Беларусь</w:t>
      </w:r>
      <w:r w:rsidRPr="00491F13">
        <w:rPr>
          <w:rFonts w:ascii="Times New Roman" w:hAnsi="Times New Roman"/>
          <w:sz w:val="20"/>
          <w:szCs w:val="20"/>
          <w:lang w:val="hu-HU"/>
        </w:rPr>
        <w:t xml:space="preserve">, </w:t>
      </w:r>
      <w:r w:rsidRPr="00E117A4">
        <w:rPr>
          <w:rFonts w:ascii="Times New Roman" w:hAnsi="Times New Roman"/>
          <w:sz w:val="20"/>
          <w:szCs w:val="20"/>
          <w:lang w:val="ru-RU"/>
        </w:rPr>
        <w:t>Государственное учреждение</w:t>
      </w:r>
      <w:r w:rsidRPr="00491F13">
        <w:rPr>
          <w:rFonts w:ascii="Times New Roman" w:hAnsi="Times New Roman"/>
          <w:sz w:val="20"/>
          <w:szCs w:val="20"/>
          <w:lang w:val="hu-HU"/>
        </w:rPr>
        <w:t xml:space="preserve"> </w:t>
      </w:r>
      <w:r w:rsidRPr="00E117A4">
        <w:rPr>
          <w:rFonts w:ascii="Times New Roman" w:hAnsi="Times New Roman"/>
          <w:sz w:val="20"/>
          <w:szCs w:val="20"/>
          <w:lang w:val="ru-RU"/>
        </w:rPr>
        <w:t>«Белорусский институт системного анализа и информационного</w:t>
      </w:r>
      <w:r w:rsidRPr="00491F13">
        <w:rPr>
          <w:rFonts w:ascii="Times New Roman" w:hAnsi="Times New Roman"/>
          <w:sz w:val="20"/>
          <w:szCs w:val="20"/>
          <w:lang w:val="hu-HU"/>
        </w:rPr>
        <w:t xml:space="preserve"> </w:t>
      </w:r>
      <w:r w:rsidRPr="00E117A4">
        <w:rPr>
          <w:rFonts w:ascii="Times New Roman" w:hAnsi="Times New Roman"/>
          <w:sz w:val="20"/>
          <w:szCs w:val="20"/>
          <w:lang w:val="ru-RU"/>
        </w:rPr>
        <w:t>обеспечения научно-технической сферы»</w:t>
      </w:r>
      <w:r w:rsidRPr="00491F13">
        <w:rPr>
          <w:rFonts w:ascii="Times New Roman" w:hAnsi="Times New Roman"/>
          <w:sz w:val="20"/>
          <w:szCs w:val="20"/>
          <w:lang w:val="hu-HU"/>
        </w:rPr>
        <w:t xml:space="preserve"> </w:t>
      </w:r>
      <w:r w:rsidRPr="00E117A4">
        <w:rPr>
          <w:rFonts w:ascii="Times New Roman" w:hAnsi="Times New Roman"/>
          <w:sz w:val="20"/>
          <w:szCs w:val="20"/>
          <w:lang w:val="ru-RU"/>
        </w:rPr>
        <w:t>(ГУ «БелИСА»)</w:t>
      </w:r>
      <w:r w:rsidRPr="00491F13">
        <w:rPr>
          <w:rFonts w:ascii="Times New Roman" w:hAnsi="Times New Roman"/>
          <w:sz w:val="20"/>
          <w:szCs w:val="20"/>
          <w:lang w:val="hu-HU"/>
        </w:rPr>
        <w:t xml:space="preserve"> </w:t>
      </w:r>
      <w:r w:rsidRPr="00E117A4">
        <w:rPr>
          <w:rFonts w:ascii="Times New Roman" w:hAnsi="Times New Roman"/>
          <w:sz w:val="20"/>
          <w:szCs w:val="20"/>
          <w:lang w:val="ru-RU"/>
        </w:rPr>
        <w:t>УДК 339.9:338.1;339.9:330.34;338.2</w:t>
      </w:r>
      <w:r w:rsidRPr="00491F13">
        <w:rPr>
          <w:rFonts w:ascii="Times New Roman" w:hAnsi="Times New Roman"/>
          <w:sz w:val="20"/>
          <w:szCs w:val="20"/>
          <w:lang w:val="hu-HU"/>
        </w:rPr>
        <w:t xml:space="preserve">  </w:t>
      </w:r>
      <w:r w:rsidRPr="00E117A4">
        <w:rPr>
          <w:rFonts w:ascii="Times New Roman" w:hAnsi="Times New Roman"/>
          <w:sz w:val="20"/>
          <w:szCs w:val="20"/>
          <w:lang w:val="ru-RU"/>
        </w:rPr>
        <w:t>№ госрегистрации 20151401</w:t>
      </w:r>
      <w:r w:rsidRPr="00491F13">
        <w:rPr>
          <w:rFonts w:ascii="Times New Roman" w:hAnsi="Times New Roman"/>
          <w:sz w:val="20"/>
          <w:szCs w:val="20"/>
          <w:lang w:val="hu-HU"/>
        </w:rPr>
        <w:t xml:space="preserve"> </w:t>
      </w:r>
      <w:r w:rsidRPr="00E117A4">
        <w:rPr>
          <w:rFonts w:ascii="Times New Roman" w:hAnsi="Times New Roman"/>
          <w:sz w:val="20"/>
          <w:szCs w:val="20"/>
          <w:lang w:val="ru-RU"/>
        </w:rPr>
        <w:t xml:space="preserve">Инв. </w:t>
      </w:r>
    </w:p>
    <w:p w:rsidR="00D178EF" w:rsidRPr="00491F13" w:rsidRDefault="00D178EF" w:rsidP="00E117A4">
      <w:pPr>
        <w:pStyle w:val="a3"/>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7B8"/>
    <w:multiLevelType w:val="hybridMultilevel"/>
    <w:tmpl w:val="DD8AB920"/>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nsid w:val="093E360A"/>
    <w:multiLevelType w:val="hybridMultilevel"/>
    <w:tmpl w:val="10165A44"/>
    <w:lvl w:ilvl="0" w:tplc="08090001">
      <w:start w:val="1"/>
      <w:numFmt w:val="bullet"/>
      <w:lvlText w:val=""/>
      <w:lvlJc w:val="left"/>
      <w:pPr>
        <w:ind w:left="720" w:hanging="360"/>
      </w:pPr>
      <w:rPr>
        <w:rFonts w:ascii="Symbol" w:hAnsi="Symbol" w:hint="default"/>
      </w:rPr>
    </w:lvl>
    <w:lvl w:ilvl="1" w:tplc="100C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E1919"/>
    <w:multiLevelType w:val="hybridMultilevel"/>
    <w:tmpl w:val="F614E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897537"/>
    <w:multiLevelType w:val="hybridMultilevel"/>
    <w:tmpl w:val="FE8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D3FB2"/>
    <w:multiLevelType w:val="multilevel"/>
    <w:tmpl w:val="9B882E94"/>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4550"/>
        </w:tabs>
        <w:ind w:left="4550" w:hanging="864"/>
      </w:pPr>
      <w:rPr>
        <w:rFonts w:cs="Times New Roman" w:hint="default"/>
      </w:rPr>
    </w:lvl>
    <w:lvl w:ilvl="4">
      <w:start w:val="1"/>
      <w:numFmt w:val="decimal"/>
      <w:pStyle w:val="5"/>
      <w:lvlText w:val="%1.%2.%3.%4.%5"/>
      <w:lvlJc w:val="left"/>
      <w:pPr>
        <w:tabs>
          <w:tab w:val="num" w:pos="6537"/>
        </w:tabs>
        <w:ind w:left="6537"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0FF60BF8"/>
    <w:multiLevelType w:val="hybridMultilevel"/>
    <w:tmpl w:val="A984B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F4173C"/>
    <w:multiLevelType w:val="hybridMultilevel"/>
    <w:tmpl w:val="F68C0FE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53B115C"/>
    <w:multiLevelType w:val="hybridMultilevel"/>
    <w:tmpl w:val="6B3C3AFE"/>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542150C"/>
    <w:multiLevelType w:val="hybridMultilevel"/>
    <w:tmpl w:val="70B069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F165BA"/>
    <w:multiLevelType w:val="hybridMultilevel"/>
    <w:tmpl w:val="DFE62A9A"/>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C1C6F79"/>
    <w:multiLevelType w:val="hybridMultilevel"/>
    <w:tmpl w:val="8FA41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72598F"/>
    <w:multiLevelType w:val="hybridMultilevel"/>
    <w:tmpl w:val="26667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FE46C2F"/>
    <w:multiLevelType w:val="hybridMultilevel"/>
    <w:tmpl w:val="2ED292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65C16AD"/>
    <w:multiLevelType w:val="hybridMultilevel"/>
    <w:tmpl w:val="64F0BB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84323D"/>
    <w:multiLevelType w:val="hybridMultilevel"/>
    <w:tmpl w:val="F8FEAE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nsid w:val="44AC43C6"/>
    <w:multiLevelType w:val="hybridMultilevel"/>
    <w:tmpl w:val="9294B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D62F43"/>
    <w:multiLevelType w:val="hybridMultilevel"/>
    <w:tmpl w:val="9040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20802"/>
    <w:multiLevelType w:val="hybridMultilevel"/>
    <w:tmpl w:val="B7B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C2B0D"/>
    <w:multiLevelType w:val="hybridMultilevel"/>
    <w:tmpl w:val="BCC4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D5ADC"/>
    <w:multiLevelType w:val="hybridMultilevel"/>
    <w:tmpl w:val="2F2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EC2180"/>
    <w:multiLevelType w:val="hybridMultilevel"/>
    <w:tmpl w:val="B466380A"/>
    <w:lvl w:ilvl="0" w:tplc="04070001">
      <w:start w:val="1"/>
      <w:numFmt w:val="bullet"/>
      <w:lvlText w:val=""/>
      <w:lvlJc w:val="left"/>
      <w:pPr>
        <w:ind w:left="962" w:hanging="360"/>
      </w:pPr>
      <w:rPr>
        <w:rFonts w:ascii="Symbol" w:hAnsi="Symbol" w:hint="default"/>
      </w:rPr>
    </w:lvl>
    <w:lvl w:ilvl="1" w:tplc="04070003" w:tentative="1">
      <w:start w:val="1"/>
      <w:numFmt w:val="bullet"/>
      <w:lvlText w:val="o"/>
      <w:lvlJc w:val="left"/>
      <w:pPr>
        <w:ind w:left="1682" w:hanging="360"/>
      </w:pPr>
      <w:rPr>
        <w:rFonts w:ascii="Courier New" w:hAnsi="Courier New" w:hint="default"/>
      </w:rPr>
    </w:lvl>
    <w:lvl w:ilvl="2" w:tplc="04070005" w:tentative="1">
      <w:start w:val="1"/>
      <w:numFmt w:val="bullet"/>
      <w:lvlText w:val=""/>
      <w:lvlJc w:val="left"/>
      <w:pPr>
        <w:ind w:left="2402" w:hanging="360"/>
      </w:pPr>
      <w:rPr>
        <w:rFonts w:ascii="Wingdings" w:hAnsi="Wingdings" w:hint="default"/>
      </w:rPr>
    </w:lvl>
    <w:lvl w:ilvl="3" w:tplc="04070001" w:tentative="1">
      <w:start w:val="1"/>
      <w:numFmt w:val="bullet"/>
      <w:lvlText w:val=""/>
      <w:lvlJc w:val="left"/>
      <w:pPr>
        <w:ind w:left="3122" w:hanging="360"/>
      </w:pPr>
      <w:rPr>
        <w:rFonts w:ascii="Symbol" w:hAnsi="Symbol" w:hint="default"/>
      </w:rPr>
    </w:lvl>
    <w:lvl w:ilvl="4" w:tplc="04070003" w:tentative="1">
      <w:start w:val="1"/>
      <w:numFmt w:val="bullet"/>
      <w:lvlText w:val="o"/>
      <w:lvlJc w:val="left"/>
      <w:pPr>
        <w:ind w:left="3842" w:hanging="360"/>
      </w:pPr>
      <w:rPr>
        <w:rFonts w:ascii="Courier New" w:hAnsi="Courier New" w:hint="default"/>
      </w:rPr>
    </w:lvl>
    <w:lvl w:ilvl="5" w:tplc="04070005" w:tentative="1">
      <w:start w:val="1"/>
      <w:numFmt w:val="bullet"/>
      <w:lvlText w:val=""/>
      <w:lvlJc w:val="left"/>
      <w:pPr>
        <w:ind w:left="4562" w:hanging="360"/>
      </w:pPr>
      <w:rPr>
        <w:rFonts w:ascii="Wingdings" w:hAnsi="Wingdings" w:hint="default"/>
      </w:rPr>
    </w:lvl>
    <w:lvl w:ilvl="6" w:tplc="04070001" w:tentative="1">
      <w:start w:val="1"/>
      <w:numFmt w:val="bullet"/>
      <w:lvlText w:val=""/>
      <w:lvlJc w:val="left"/>
      <w:pPr>
        <w:ind w:left="5282" w:hanging="360"/>
      </w:pPr>
      <w:rPr>
        <w:rFonts w:ascii="Symbol" w:hAnsi="Symbol" w:hint="default"/>
      </w:rPr>
    </w:lvl>
    <w:lvl w:ilvl="7" w:tplc="04070003" w:tentative="1">
      <w:start w:val="1"/>
      <w:numFmt w:val="bullet"/>
      <w:lvlText w:val="o"/>
      <w:lvlJc w:val="left"/>
      <w:pPr>
        <w:ind w:left="6002" w:hanging="360"/>
      </w:pPr>
      <w:rPr>
        <w:rFonts w:ascii="Courier New" w:hAnsi="Courier New" w:hint="default"/>
      </w:rPr>
    </w:lvl>
    <w:lvl w:ilvl="8" w:tplc="04070005" w:tentative="1">
      <w:start w:val="1"/>
      <w:numFmt w:val="bullet"/>
      <w:lvlText w:val=""/>
      <w:lvlJc w:val="left"/>
      <w:pPr>
        <w:ind w:left="6722" w:hanging="360"/>
      </w:pPr>
      <w:rPr>
        <w:rFonts w:ascii="Wingdings" w:hAnsi="Wingdings" w:hint="default"/>
      </w:rPr>
    </w:lvl>
  </w:abstractNum>
  <w:abstractNum w:abstractNumId="21">
    <w:nsid w:val="52467FFA"/>
    <w:multiLevelType w:val="hybridMultilevel"/>
    <w:tmpl w:val="C0E0EA36"/>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2">
    <w:nsid w:val="57983393"/>
    <w:multiLevelType w:val="hybridMultilevel"/>
    <w:tmpl w:val="8344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197F8C"/>
    <w:multiLevelType w:val="hybridMultilevel"/>
    <w:tmpl w:val="D5C46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5D477B"/>
    <w:multiLevelType w:val="hybridMultilevel"/>
    <w:tmpl w:val="8A2651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C987270"/>
    <w:multiLevelType w:val="hybridMultilevel"/>
    <w:tmpl w:val="F3EC61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E4D0BB6"/>
    <w:multiLevelType w:val="multilevel"/>
    <w:tmpl w:val="D6783C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FB3D70"/>
    <w:multiLevelType w:val="hybridMultilevel"/>
    <w:tmpl w:val="7C6251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747B1"/>
    <w:multiLevelType w:val="hybridMultilevel"/>
    <w:tmpl w:val="20B2A668"/>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29">
    <w:nsid w:val="717F5D41"/>
    <w:multiLevelType w:val="hybridMultilevel"/>
    <w:tmpl w:val="C178B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73BC3F0F"/>
    <w:multiLevelType w:val="hybridMultilevel"/>
    <w:tmpl w:val="D64469B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747458AD"/>
    <w:multiLevelType w:val="hybridMultilevel"/>
    <w:tmpl w:val="75CE0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30"/>
  </w:num>
  <w:num w:numId="5">
    <w:abstractNumId w:val="14"/>
  </w:num>
  <w:num w:numId="6">
    <w:abstractNumId w:val="4"/>
  </w:num>
  <w:num w:numId="7">
    <w:abstractNumId w:val="26"/>
  </w:num>
  <w:num w:numId="8">
    <w:abstractNumId w:val="0"/>
  </w:num>
  <w:num w:numId="9">
    <w:abstractNumId w:val="29"/>
  </w:num>
  <w:num w:numId="10">
    <w:abstractNumId w:val="22"/>
  </w:num>
  <w:num w:numId="11">
    <w:abstractNumId w:val="17"/>
  </w:num>
  <w:num w:numId="12">
    <w:abstractNumId w:val="16"/>
  </w:num>
  <w:num w:numId="13">
    <w:abstractNumId w:val="1"/>
  </w:num>
  <w:num w:numId="14">
    <w:abstractNumId w:val="18"/>
  </w:num>
  <w:num w:numId="15">
    <w:abstractNumId w:val="3"/>
  </w:num>
  <w:num w:numId="16">
    <w:abstractNumId w:val="21"/>
  </w:num>
  <w:num w:numId="17">
    <w:abstractNumId w:val="6"/>
  </w:num>
  <w:num w:numId="18">
    <w:abstractNumId w:val="25"/>
  </w:num>
  <w:num w:numId="19">
    <w:abstractNumId w:val="12"/>
  </w:num>
  <w:num w:numId="20">
    <w:abstractNumId w:val="11"/>
  </w:num>
  <w:num w:numId="21">
    <w:abstractNumId w:val="19"/>
  </w:num>
  <w:num w:numId="22">
    <w:abstractNumId w:val="23"/>
  </w:num>
  <w:num w:numId="23">
    <w:abstractNumId w:val="20"/>
  </w:num>
  <w:num w:numId="24">
    <w:abstractNumId w:val="31"/>
  </w:num>
  <w:num w:numId="25">
    <w:abstractNumId w:val="28"/>
  </w:num>
  <w:num w:numId="26">
    <w:abstractNumId w:val="10"/>
  </w:num>
  <w:num w:numId="27">
    <w:abstractNumId w:val="5"/>
  </w:num>
  <w:num w:numId="28">
    <w:abstractNumId w:val="2"/>
  </w:num>
  <w:num w:numId="29">
    <w:abstractNumId w:val="15"/>
  </w:num>
  <w:num w:numId="30">
    <w:abstractNumId w:val="27"/>
  </w:num>
  <w:num w:numId="31">
    <w:abstractNumId w:val="9"/>
  </w:num>
  <w:num w:numId="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25"/>
    <w:rsid w:val="00000C01"/>
    <w:rsid w:val="00034562"/>
    <w:rsid w:val="00035036"/>
    <w:rsid w:val="00037D4B"/>
    <w:rsid w:val="00037F51"/>
    <w:rsid w:val="00043091"/>
    <w:rsid w:val="00047D47"/>
    <w:rsid w:val="000505EB"/>
    <w:rsid w:val="000656C3"/>
    <w:rsid w:val="00086254"/>
    <w:rsid w:val="000A35DE"/>
    <w:rsid w:val="000A5C0F"/>
    <w:rsid w:val="000C5924"/>
    <w:rsid w:val="000D1DC7"/>
    <w:rsid w:val="000D7E58"/>
    <w:rsid w:val="000F6B75"/>
    <w:rsid w:val="00107887"/>
    <w:rsid w:val="001151E5"/>
    <w:rsid w:val="00117DD1"/>
    <w:rsid w:val="0012047F"/>
    <w:rsid w:val="001304BD"/>
    <w:rsid w:val="00151138"/>
    <w:rsid w:val="0015584A"/>
    <w:rsid w:val="00156E90"/>
    <w:rsid w:val="001A2F8D"/>
    <w:rsid w:val="001C40E4"/>
    <w:rsid w:val="001C52CB"/>
    <w:rsid w:val="001D505C"/>
    <w:rsid w:val="001D58BD"/>
    <w:rsid w:val="001D5A43"/>
    <w:rsid w:val="00207D32"/>
    <w:rsid w:val="00217C8D"/>
    <w:rsid w:val="00223761"/>
    <w:rsid w:val="002277D8"/>
    <w:rsid w:val="00233B7A"/>
    <w:rsid w:val="00241F35"/>
    <w:rsid w:val="00245E95"/>
    <w:rsid w:val="00253790"/>
    <w:rsid w:val="002852F5"/>
    <w:rsid w:val="00297B88"/>
    <w:rsid w:val="002A5060"/>
    <w:rsid w:val="002B3230"/>
    <w:rsid w:val="002C0D64"/>
    <w:rsid w:val="002C16AC"/>
    <w:rsid w:val="002F1590"/>
    <w:rsid w:val="002F2847"/>
    <w:rsid w:val="002F454C"/>
    <w:rsid w:val="003050D8"/>
    <w:rsid w:val="00307F80"/>
    <w:rsid w:val="00312A50"/>
    <w:rsid w:val="003144A2"/>
    <w:rsid w:val="00321A41"/>
    <w:rsid w:val="00330DEF"/>
    <w:rsid w:val="003444F2"/>
    <w:rsid w:val="00346490"/>
    <w:rsid w:val="00351F35"/>
    <w:rsid w:val="003523E2"/>
    <w:rsid w:val="00353BF9"/>
    <w:rsid w:val="00356DD3"/>
    <w:rsid w:val="00360BE5"/>
    <w:rsid w:val="00364357"/>
    <w:rsid w:val="00366A17"/>
    <w:rsid w:val="003677ED"/>
    <w:rsid w:val="00367FA8"/>
    <w:rsid w:val="00377C12"/>
    <w:rsid w:val="003839F9"/>
    <w:rsid w:val="00397FC7"/>
    <w:rsid w:val="003B6EAB"/>
    <w:rsid w:val="003C0AB6"/>
    <w:rsid w:val="003D04A6"/>
    <w:rsid w:val="003F73D8"/>
    <w:rsid w:val="00403CEC"/>
    <w:rsid w:val="00412747"/>
    <w:rsid w:val="004138F8"/>
    <w:rsid w:val="00423ABD"/>
    <w:rsid w:val="00425B1C"/>
    <w:rsid w:val="00426665"/>
    <w:rsid w:val="0043174E"/>
    <w:rsid w:val="00450FCE"/>
    <w:rsid w:val="00451123"/>
    <w:rsid w:val="00461FA0"/>
    <w:rsid w:val="00463780"/>
    <w:rsid w:val="0046504F"/>
    <w:rsid w:val="00472493"/>
    <w:rsid w:val="004914B4"/>
    <w:rsid w:val="0049518E"/>
    <w:rsid w:val="0049760F"/>
    <w:rsid w:val="00497F92"/>
    <w:rsid w:val="004B50EB"/>
    <w:rsid w:val="004C33A9"/>
    <w:rsid w:val="004C6397"/>
    <w:rsid w:val="004E58D7"/>
    <w:rsid w:val="004E7577"/>
    <w:rsid w:val="004F0866"/>
    <w:rsid w:val="00516DB4"/>
    <w:rsid w:val="00532061"/>
    <w:rsid w:val="0054236B"/>
    <w:rsid w:val="00550056"/>
    <w:rsid w:val="0056179C"/>
    <w:rsid w:val="00571285"/>
    <w:rsid w:val="005721FB"/>
    <w:rsid w:val="00574491"/>
    <w:rsid w:val="00575FE8"/>
    <w:rsid w:val="00594B93"/>
    <w:rsid w:val="005A10ED"/>
    <w:rsid w:val="005B4AFF"/>
    <w:rsid w:val="005E1D61"/>
    <w:rsid w:val="005E2664"/>
    <w:rsid w:val="005E2B00"/>
    <w:rsid w:val="00605BE6"/>
    <w:rsid w:val="00605D17"/>
    <w:rsid w:val="00614803"/>
    <w:rsid w:val="00620758"/>
    <w:rsid w:val="00620D9A"/>
    <w:rsid w:val="00630448"/>
    <w:rsid w:val="00634414"/>
    <w:rsid w:val="00641135"/>
    <w:rsid w:val="00647676"/>
    <w:rsid w:val="0065669C"/>
    <w:rsid w:val="006609D3"/>
    <w:rsid w:val="00661B8F"/>
    <w:rsid w:val="00674F41"/>
    <w:rsid w:val="00681F85"/>
    <w:rsid w:val="0068566D"/>
    <w:rsid w:val="00685CD5"/>
    <w:rsid w:val="00697B57"/>
    <w:rsid w:val="006E02AF"/>
    <w:rsid w:val="006E2E89"/>
    <w:rsid w:val="006E61F6"/>
    <w:rsid w:val="006F2E30"/>
    <w:rsid w:val="007059ED"/>
    <w:rsid w:val="007103CD"/>
    <w:rsid w:val="00717C30"/>
    <w:rsid w:val="0072457D"/>
    <w:rsid w:val="007300BB"/>
    <w:rsid w:val="00742EF7"/>
    <w:rsid w:val="00750EEC"/>
    <w:rsid w:val="00753674"/>
    <w:rsid w:val="00754435"/>
    <w:rsid w:val="007656A7"/>
    <w:rsid w:val="00777133"/>
    <w:rsid w:val="00786189"/>
    <w:rsid w:val="00792D70"/>
    <w:rsid w:val="007A25A3"/>
    <w:rsid w:val="007B451C"/>
    <w:rsid w:val="007B66D0"/>
    <w:rsid w:val="007B7901"/>
    <w:rsid w:val="007D6F1B"/>
    <w:rsid w:val="007E09DA"/>
    <w:rsid w:val="007F3A80"/>
    <w:rsid w:val="007F4352"/>
    <w:rsid w:val="00801620"/>
    <w:rsid w:val="00803FFF"/>
    <w:rsid w:val="00811039"/>
    <w:rsid w:val="00817025"/>
    <w:rsid w:val="00820564"/>
    <w:rsid w:val="008252D7"/>
    <w:rsid w:val="00832929"/>
    <w:rsid w:val="0084228F"/>
    <w:rsid w:val="0084317D"/>
    <w:rsid w:val="0085082E"/>
    <w:rsid w:val="00852910"/>
    <w:rsid w:val="0086313A"/>
    <w:rsid w:val="008647AD"/>
    <w:rsid w:val="00877373"/>
    <w:rsid w:val="008773CE"/>
    <w:rsid w:val="0088051B"/>
    <w:rsid w:val="00894BD9"/>
    <w:rsid w:val="00897661"/>
    <w:rsid w:val="008A039F"/>
    <w:rsid w:val="008C67F1"/>
    <w:rsid w:val="008E1565"/>
    <w:rsid w:val="008F4A5F"/>
    <w:rsid w:val="00901C08"/>
    <w:rsid w:val="00904176"/>
    <w:rsid w:val="00910ABF"/>
    <w:rsid w:val="00933F36"/>
    <w:rsid w:val="00944D57"/>
    <w:rsid w:val="00947D43"/>
    <w:rsid w:val="0095055C"/>
    <w:rsid w:val="00950742"/>
    <w:rsid w:val="009521E8"/>
    <w:rsid w:val="00963107"/>
    <w:rsid w:val="0096390E"/>
    <w:rsid w:val="00965741"/>
    <w:rsid w:val="00966EE7"/>
    <w:rsid w:val="00971780"/>
    <w:rsid w:val="009918FF"/>
    <w:rsid w:val="00993412"/>
    <w:rsid w:val="009B57C2"/>
    <w:rsid w:val="009C064D"/>
    <w:rsid w:val="009C0676"/>
    <w:rsid w:val="009C1976"/>
    <w:rsid w:val="009F37EB"/>
    <w:rsid w:val="00A00A18"/>
    <w:rsid w:val="00A119A0"/>
    <w:rsid w:val="00A13A0F"/>
    <w:rsid w:val="00A15C5C"/>
    <w:rsid w:val="00A24D96"/>
    <w:rsid w:val="00A322C8"/>
    <w:rsid w:val="00A3542D"/>
    <w:rsid w:val="00A42F4C"/>
    <w:rsid w:val="00A52C8B"/>
    <w:rsid w:val="00A5319E"/>
    <w:rsid w:val="00A55538"/>
    <w:rsid w:val="00A66661"/>
    <w:rsid w:val="00A778A2"/>
    <w:rsid w:val="00A92E97"/>
    <w:rsid w:val="00A971CD"/>
    <w:rsid w:val="00AC47E3"/>
    <w:rsid w:val="00B00221"/>
    <w:rsid w:val="00B00846"/>
    <w:rsid w:val="00B0657A"/>
    <w:rsid w:val="00B13A8B"/>
    <w:rsid w:val="00B30916"/>
    <w:rsid w:val="00B504DB"/>
    <w:rsid w:val="00B524BA"/>
    <w:rsid w:val="00B64B42"/>
    <w:rsid w:val="00B70D35"/>
    <w:rsid w:val="00B91E57"/>
    <w:rsid w:val="00BA02ED"/>
    <w:rsid w:val="00BA73A6"/>
    <w:rsid w:val="00BA7621"/>
    <w:rsid w:val="00BB0D54"/>
    <w:rsid w:val="00BC4DA5"/>
    <w:rsid w:val="00BE720F"/>
    <w:rsid w:val="00BF6529"/>
    <w:rsid w:val="00BF673A"/>
    <w:rsid w:val="00C00040"/>
    <w:rsid w:val="00C04D38"/>
    <w:rsid w:val="00C077F8"/>
    <w:rsid w:val="00C220F9"/>
    <w:rsid w:val="00C23E4D"/>
    <w:rsid w:val="00C37F37"/>
    <w:rsid w:val="00C41B59"/>
    <w:rsid w:val="00C51D4D"/>
    <w:rsid w:val="00C52BF7"/>
    <w:rsid w:val="00C65103"/>
    <w:rsid w:val="00C653AF"/>
    <w:rsid w:val="00C7043B"/>
    <w:rsid w:val="00C83AE9"/>
    <w:rsid w:val="00CA0CDF"/>
    <w:rsid w:val="00CB40EC"/>
    <w:rsid w:val="00CB4AC5"/>
    <w:rsid w:val="00CC01CB"/>
    <w:rsid w:val="00CD5F21"/>
    <w:rsid w:val="00CD6982"/>
    <w:rsid w:val="00CE4161"/>
    <w:rsid w:val="00CE5322"/>
    <w:rsid w:val="00D13328"/>
    <w:rsid w:val="00D178EF"/>
    <w:rsid w:val="00D24497"/>
    <w:rsid w:val="00D2754C"/>
    <w:rsid w:val="00D27673"/>
    <w:rsid w:val="00D33AE7"/>
    <w:rsid w:val="00D45246"/>
    <w:rsid w:val="00D4787E"/>
    <w:rsid w:val="00D5272D"/>
    <w:rsid w:val="00D54894"/>
    <w:rsid w:val="00D57D0C"/>
    <w:rsid w:val="00D84349"/>
    <w:rsid w:val="00D9045D"/>
    <w:rsid w:val="00D92E21"/>
    <w:rsid w:val="00D94687"/>
    <w:rsid w:val="00DC3FC9"/>
    <w:rsid w:val="00DC62AB"/>
    <w:rsid w:val="00DD24F4"/>
    <w:rsid w:val="00DD7783"/>
    <w:rsid w:val="00DE7E8F"/>
    <w:rsid w:val="00E051AE"/>
    <w:rsid w:val="00E117A4"/>
    <w:rsid w:val="00E141AD"/>
    <w:rsid w:val="00E301F7"/>
    <w:rsid w:val="00E52A15"/>
    <w:rsid w:val="00E87877"/>
    <w:rsid w:val="00EA1812"/>
    <w:rsid w:val="00EB2166"/>
    <w:rsid w:val="00EB2634"/>
    <w:rsid w:val="00EB3BDB"/>
    <w:rsid w:val="00EB568B"/>
    <w:rsid w:val="00EB6818"/>
    <w:rsid w:val="00EC092B"/>
    <w:rsid w:val="00EC2912"/>
    <w:rsid w:val="00ED7903"/>
    <w:rsid w:val="00EE0F3F"/>
    <w:rsid w:val="00EE1E15"/>
    <w:rsid w:val="00EF30E6"/>
    <w:rsid w:val="00EF501E"/>
    <w:rsid w:val="00F02090"/>
    <w:rsid w:val="00F43A13"/>
    <w:rsid w:val="00F65B51"/>
    <w:rsid w:val="00F808C8"/>
    <w:rsid w:val="00F90DCD"/>
    <w:rsid w:val="00FA1E0A"/>
    <w:rsid w:val="00FA78B5"/>
    <w:rsid w:val="00FB20E2"/>
    <w:rsid w:val="00FC10FD"/>
    <w:rsid w:val="00FC4864"/>
    <w:rsid w:val="00FD2D8E"/>
    <w:rsid w:val="00FE0D69"/>
    <w:rsid w:val="00FE59F3"/>
    <w:rsid w:val="00FF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7F37"/>
    <w:pPr>
      <w:keepNext/>
      <w:numPr>
        <w:numId w:val="6"/>
      </w:numPr>
      <w:spacing w:before="240" w:after="60"/>
      <w:outlineLvl w:val="0"/>
    </w:pPr>
    <w:rPr>
      <w:rFonts w:ascii="Arial" w:eastAsia="Calibri" w:hAnsi="Arial" w:cs="Times New Roman"/>
      <w:b/>
      <w:bCs/>
      <w:kern w:val="32"/>
      <w:sz w:val="32"/>
      <w:szCs w:val="32"/>
      <w:lang w:val="hu-HU"/>
    </w:rPr>
  </w:style>
  <w:style w:type="paragraph" w:styleId="2">
    <w:name w:val="heading 2"/>
    <w:basedOn w:val="a"/>
    <w:next w:val="a"/>
    <w:link w:val="20"/>
    <w:uiPriority w:val="99"/>
    <w:qFormat/>
    <w:rsid w:val="00C37F37"/>
    <w:pPr>
      <w:keepNext/>
      <w:numPr>
        <w:ilvl w:val="1"/>
        <w:numId w:val="6"/>
      </w:numPr>
      <w:spacing w:before="240" w:after="60"/>
      <w:outlineLvl w:val="1"/>
    </w:pPr>
    <w:rPr>
      <w:rFonts w:ascii="Arial" w:eastAsia="Calibri" w:hAnsi="Arial" w:cs="Times New Roman"/>
      <w:b/>
      <w:bCs/>
      <w:i/>
      <w:iCs/>
      <w:sz w:val="28"/>
      <w:szCs w:val="28"/>
      <w:lang w:val="hu-HU"/>
    </w:rPr>
  </w:style>
  <w:style w:type="paragraph" w:styleId="3">
    <w:name w:val="heading 3"/>
    <w:basedOn w:val="a"/>
    <w:next w:val="a"/>
    <w:link w:val="30"/>
    <w:uiPriority w:val="99"/>
    <w:qFormat/>
    <w:rsid w:val="00C37F37"/>
    <w:pPr>
      <w:keepNext/>
      <w:numPr>
        <w:ilvl w:val="2"/>
        <w:numId w:val="6"/>
      </w:numPr>
      <w:spacing w:before="240" w:after="60"/>
      <w:outlineLvl w:val="2"/>
    </w:pPr>
    <w:rPr>
      <w:rFonts w:ascii="Arial" w:eastAsia="Calibri" w:hAnsi="Arial" w:cs="Times New Roman"/>
      <w:b/>
      <w:bCs/>
      <w:sz w:val="26"/>
      <w:szCs w:val="26"/>
      <w:lang w:val="x-none"/>
    </w:rPr>
  </w:style>
  <w:style w:type="paragraph" w:styleId="4">
    <w:name w:val="heading 4"/>
    <w:basedOn w:val="a"/>
    <w:next w:val="a"/>
    <w:link w:val="40"/>
    <w:uiPriority w:val="99"/>
    <w:qFormat/>
    <w:rsid w:val="00C37F37"/>
    <w:pPr>
      <w:keepNext/>
      <w:numPr>
        <w:ilvl w:val="3"/>
        <w:numId w:val="6"/>
      </w:numPr>
      <w:tabs>
        <w:tab w:val="clear" w:pos="4550"/>
        <w:tab w:val="num" w:pos="864"/>
      </w:tabs>
      <w:spacing w:before="240" w:after="60"/>
      <w:ind w:left="864"/>
      <w:outlineLvl w:val="3"/>
    </w:pPr>
    <w:rPr>
      <w:rFonts w:ascii="Calibri" w:eastAsia="Calibri" w:hAnsi="Calibri" w:cs="Times New Roman"/>
      <w:b/>
      <w:bCs/>
      <w:sz w:val="28"/>
      <w:szCs w:val="28"/>
      <w:lang w:val="hu-HU"/>
    </w:rPr>
  </w:style>
  <w:style w:type="paragraph" w:styleId="5">
    <w:name w:val="heading 5"/>
    <w:basedOn w:val="a"/>
    <w:next w:val="a"/>
    <w:link w:val="50"/>
    <w:uiPriority w:val="99"/>
    <w:qFormat/>
    <w:rsid w:val="00C37F37"/>
    <w:pPr>
      <w:numPr>
        <w:ilvl w:val="4"/>
        <w:numId w:val="6"/>
      </w:numPr>
      <w:tabs>
        <w:tab w:val="clear" w:pos="6537"/>
        <w:tab w:val="num" w:pos="1008"/>
      </w:tabs>
      <w:spacing w:before="240" w:after="60"/>
      <w:ind w:left="1008"/>
      <w:outlineLvl w:val="4"/>
    </w:pPr>
    <w:rPr>
      <w:rFonts w:ascii="Calibri" w:eastAsia="Calibri" w:hAnsi="Calibri" w:cs="Times New Roman"/>
      <w:b/>
      <w:bCs/>
      <w:i/>
      <w:iCs/>
      <w:sz w:val="26"/>
      <w:szCs w:val="26"/>
      <w:lang w:val="hu-HU"/>
    </w:rPr>
  </w:style>
  <w:style w:type="paragraph" w:styleId="6">
    <w:name w:val="heading 6"/>
    <w:basedOn w:val="a"/>
    <w:next w:val="a"/>
    <w:link w:val="60"/>
    <w:uiPriority w:val="99"/>
    <w:qFormat/>
    <w:rsid w:val="00C37F37"/>
    <w:pPr>
      <w:numPr>
        <w:ilvl w:val="5"/>
        <w:numId w:val="6"/>
      </w:numPr>
      <w:spacing w:before="240" w:after="60"/>
      <w:outlineLvl w:val="5"/>
    </w:pPr>
    <w:rPr>
      <w:rFonts w:ascii="Calibri" w:eastAsia="Calibri" w:hAnsi="Calibri" w:cs="Times New Roman"/>
      <w:b/>
      <w:bCs/>
      <w:lang w:val="hu-HU"/>
    </w:rPr>
  </w:style>
  <w:style w:type="paragraph" w:styleId="7">
    <w:name w:val="heading 7"/>
    <w:basedOn w:val="a"/>
    <w:next w:val="a"/>
    <w:link w:val="70"/>
    <w:uiPriority w:val="99"/>
    <w:qFormat/>
    <w:rsid w:val="00C37F37"/>
    <w:pPr>
      <w:numPr>
        <w:ilvl w:val="6"/>
        <w:numId w:val="6"/>
      </w:numPr>
      <w:spacing w:before="240" w:after="60"/>
      <w:outlineLvl w:val="6"/>
    </w:pPr>
    <w:rPr>
      <w:rFonts w:ascii="Calibri" w:eastAsia="Calibri" w:hAnsi="Calibri" w:cs="Times New Roman"/>
      <w:sz w:val="24"/>
      <w:szCs w:val="24"/>
      <w:lang w:val="hu-HU"/>
    </w:rPr>
  </w:style>
  <w:style w:type="paragraph" w:styleId="8">
    <w:name w:val="heading 8"/>
    <w:basedOn w:val="a"/>
    <w:next w:val="a"/>
    <w:link w:val="80"/>
    <w:uiPriority w:val="99"/>
    <w:qFormat/>
    <w:rsid w:val="00C37F37"/>
    <w:pPr>
      <w:numPr>
        <w:ilvl w:val="7"/>
        <w:numId w:val="6"/>
      </w:numPr>
      <w:spacing w:before="240" w:after="60"/>
      <w:outlineLvl w:val="7"/>
    </w:pPr>
    <w:rPr>
      <w:rFonts w:ascii="Calibri" w:eastAsia="Calibri" w:hAnsi="Calibri" w:cs="Times New Roman"/>
      <w:i/>
      <w:iCs/>
      <w:sz w:val="24"/>
      <w:szCs w:val="24"/>
      <w:lang w:val="hu-HU"/>
    </w:rPr>
  </w:style>
  <w:style w:type="paragraph" w:styleId="9">
    <w:name w:val="heading 9"/>
    <w:basedOn w:val="a"/>
    <w:next w:val="a"/>
    <w:link w:val="90"/>
    <w:uiPriority w:val="99"/>
    <w:qFormat/>
    <w:rsid w:val="00C37F37"/>
    <w:pPr>
      <w:numPr>
        <w:ilvl w:val="8"/>
        <w:numId w:val="6"/>
      </w:numPr>
      <w:spacing w:before="240" w:after="60"/>
      <w:outlineLvl w:val="8"/>
    </w:pPr>
    <w:rPr>
      <w:rFonts w:ascii="Arial" w:eastAsia="Calibri" w:hAnsi="Arial" w:cs="Times New Roman"/>
      <w:lang w:val="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5538"/>
    <w:pPr>
      <w:spacing w:after="0" w:line="240" w:lineRule="auto"/>
      <w:jc w:val="both"/>
    </w:pPr>
    <w:rPr>
      <w:rFonts w:ascii="Times New Roman" w:hAnsi="Times New Roman" w:cs="Times New Roman"/>
      <w:sz w:val="20"/>
      <w:szCs w:val="20"/>
    </w:rPr>
  </w:style>
  <w:style w:type="character" w:customStyle="1" w:styleId="a4">
    <w:name w:val="Текст сноски Знак"/>
    <w:basedOn w:val="a0"/>
    <w:link w:val="a3"/>
    <w:uiPriority w:val="99"/>
    <w:rsid w:val="00A55538"/>
    <w:rPr>
      <w:rFonts w:ascii="Times New Roman" w:hAnsi="Times New Roman" w:cs="Times New Roman"/>
      <w:sz w:val="20"/>
      <w:szCs w:val="20"/>
    </w:rPr>
  </w:style>
  <w:style w:type="character" w:styleId="a5">
    <w:name w:val="footnote reference"/>
    <w:basedOn w:val="a0"/>
    <w:uiPriority w:val="99"/>
    <w:unhideWhenUsed/>
    <w:rsid w:val="00A55538"/>
    <w:rPr>
      <w:vertAlign w:val="superscript"/>
    </w:rPr>
  </w:style>
  <w:style w:type="paragraph" w:styleId="a6">
    <w:name w:val="header"/>
    <w:basedOn w:val="a"/>
    <w:link w:val="a7"/>
    <w:unhideWhenUsed/>
    <w:rsid w:val="00EC092B"/>
    <w:pPr>
      <w:tabs>
        <w:tab w:val="center" w:pos="4513"/>
        <w:tab w:val="right" w:pos="9026"/>
      </w:tabs>
      <w:spacing w:after="0" w:line="240" w:lineRule="auto"/>
    </w:pPr>
  </w:style>
  <w:style w:type="character" w:customStyle="1" w:styleId="a7">
    <w:name w:val="Верхний колонтитул Знак"/>
    <w:basedOn w:val="a0"/>
    <w:link w:val="a6"/>
    <w:rsid w:val="00EC092B"/>
  </w:style>
  <w:style w:type="paragraph" w:styleId="a8">
    <w:name w:val="footer"/>
    <w:basedOn w:val="a"/>
    <w:link w:val="a9"/>
    <w:uiPriority w:val="99"/>
    <w:unhideWhenUsed/>
    <w:rsid w:val="00EC092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EC092B"/>
  </w:style>
  <w:style w:type="paragraph" w:styleId="aa">
    <w:name w:val="Balloon Text"/>
    <w:basedOn w:val="a"/>
    <w:link w:val="ab"/>
    <w:uiPriority w:val="99"/>
    <w:semiHidden/>
    <w:unhideWhenUsed/>
    <w:rsid w:val="006F2E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2E30"/>
    <w:rPr>
      <w:rFonts w:ascii="Tahoma" w:hAnsi="Tahoma" w:cs="Tahoma"/>
      <w:sz w:val="16"/>
      <w:szCs w:val="16"/>
    </w:rPr>
  </w:style>
  <w:style w:type="table" w:styleId="ac">
    <w:name w:val="Table Grid"/>
    <w:basedOn w:val="a1"/>
    <w:uiPriority w:val="59"/>
    <w:rsid w:val="00043091"/>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043091"/>
    <w:pPr>
      <w:ind w:left="720"/>
      <w:contextualSpacing/>
    </w:pPr>
  </w:style>
  <w:style w:type="table" w:customStyle="1" w:styleId="TableGrid1">
    <w:name w:val="Table Grid1"/>
    <w:basedOn w:val="a1"/>
    <w:next w:val="ac"/>
    <w:uiPriority w:val="59"/>
    <w:rsid w:val="00C6510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65103"/>
    <w:rPr>
      <w:color w:val="0000FF" w:themeColor="hyperlink"/>
      <w:u w:val="single"/>
    </w:rPr>
  </w:style>
  <w:style w:type="table" w:customStyle="1" w:styleId="GridTable1Light1">
    <w:name w:val="Grid Table 1 Light1"/>
    <w:basedOn w:val="a1"/>
    <w:uiPriority w:val="46"/>
    <w:rsid w:val="00C65103"/>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annotation reference"/>
    <w:basedOn w:val="a0"/>
    <w:uiPriority w:val="99"/>
    <w:semiHidden/>
    <w:unhideWhenUsed/>
    <w:rsid w:val="00C65103"/>
    <w:rPr>
      <w:sz w:val="16"/>
      <w:szCs w:val="16"/>
    </w:rPr>
  </w:style>
  <w:style w:type="paragraph" w:styleId="af1">
    <w:name w:val="annotation text"/>
    <w:basedOn w:val="a"/>
    <w:link w:val="af2"/>
    <w:uiPriority w:val="99"/>
    <w:semiHidden/>
    <w:unhideWhenUsed/>
    <w:rsid w:val="00C65103"/>
    <w:pPr>
      <w:spacing w:after="0" w:line="240" w:lineRule="auto"/>
    </w:pPr>
    <w:rPr>
      <w:rFonts w:ascii="Cambria" w:hAnsi="Cambria" w:cs="Times New Roman"/>
      <w:sz w:val="20"/>
      <w:szCs w:val="20"/>
      <w:lang w:val="el-GR"/>
    </w:rPr>
  </w:style>
  <w:style w:type="character" w:customStyle="1" w:styleId="af2">
    <w:name w:val="Текст примечания Знак"/>
    <w:basedOn w:val="a0"/>
    <w:link w:val="af1"/>
    <w:uiPriority w:val="99"/>
    <w:semiHidden/>
    <w:rsid w:val="00C65103"/>
    <w:rPr>
      <w:rFonts w:ascii="Cambria" w:hAnsi="Cambria" w:cs="Times New Roman"/>
      <w:sz w:val="20"/>
      <w:szCs w:val="20"/>
      <w:lang w:val="el-GR"/>
    </w:rPr>
  </w:style>
  <w:style w:type="paragraph" w:styleId="af3">
    <w:name w:val="annotation subject"/>
    <w:basedOn w:val="af1"/>
    <w:next w:val="af1"/>
    <w:link w:val="af4"/>
    <w:uiPriority w:val="99"/>
    <w:semiHidden/>
    <w:unhideWhenUsed/>
    <w:rsid w:val="002B3230"/>
    <w:pPr>
      <w:spacing w:after="200"/>
    </w:pPr>
    <w:rPr>
      <w:rFonts w:asciiTheme="minorHAnsi" w:hAnsiTheme="minorHAnsi" w:cstheme="minorBidi"/>
      <w:b/>
      <w:bCs/>
      <w:lang w:val="en-GB"/>
    </w:rPr>
  </w:style>
  <w:style w:type="character" w:customStyle="1" w:styleId="af4">
    <w:name w:val="Тема примечания Знак"/>
    <w:basedOn w:val="af2"/>
    <w:link w:val="af3"/>
    <w:uiPriority w:val="99"/>
    <w:semiHidden/>
    <w:rsid w:val="002B3230"/>
    <w:rPr>
      <w:rFonts w:ascii="Cambria" w:hAnsi="Cambria" w:cs="Times New Roman"/>
      <w:b/>
      <w:bCs/>
      <w:sz w:val="20"/>
      <w:szCs w:val="20"/>
      <w:lang w:val="el-GR"/>
    </w:rPr>
  </w:style>
  <w:style w:type="table" w:customStyle="1" w:styleId="TableGrid2">
    <w:name w:val="Table Grid2"/>
    <w:basedOn w:val="a1"/>
    <w:next w:val="ac"/>
    <w:uiPriority w:val="59"/>
    <w:rsid w:val="00E117A4"/>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E117A4"/>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9"/>
    <w:rsid w:val="00C37F37"/>
    <w:rPr>
      <w:rFonts w:ascii="Arial" w:eastAsia="Calibri" w:hAnsi="Arial" w:cs="Times New Roman"/>
      <w:b/>
      <w:bCs/>
      <w:kern w:val="32"/>
      <w:sz w:val="32"/>
      <w:szCs w:val="32"/>
      <w:lang w:val="hu-HU"/>
    </w:rPr>
  </w:style>
  <w:style w:type="character" w:customStyle="1" w:styleId="20">
    <w:name w:val="Заголовок 2 Знак"/>
    <w:basedOn w:val="a0"/>
    <w:link w:val="2"/>
    <w:uiPriority w:val="99"/>
    <w:rsid w:val="00C37F37"/>
    <w:rPr>
      <w:rFonts w:ascii="Arial" w:eastAsia="Calibri" w:hAnsi="Arial" w:cs="Times New Roman"/>
      <w:b/>
      <w:bCs/>
      <w:i/>
      <w:iCs/>
      <w:sz w:val="28"/>
      <w:szCs w:val="28"/>
      <w:lang w:val="hu-HU"/>
    </w:rPr>
  </w:style>
  <w:style w:type="character" w:customStyle="1" w:styleId="30">
    <w:name w:val="Заголовок 3 Знак"/>
    <w:basedOn w:val="a0"/>
    <w:link w:val="3"/>
    <w:uiPriority w:val="99"/>
    <w:rsid w:val="00C37F37"/>
    <w:rPr>
      <w:rFonts w:ascii="Arial" w:eastAsia="Calibri" w:hAnsi="Arial" w:cs="Times New Roman"/>
      <w:b/>
      <w:bCs/>
      <w:sz w:val="26"/>
      <w:szCs w:val="26"/>
      <w:lang w:val="x-none"/>
    </w:rPr>
  </w:style>
  <w:style w:type="character" w:customStyle="1" w:styleId="40">
    <w:name w:val="Заголовок 4 Знак"/>
    <w:basedOn w:val="a0"/>
    <w:link w:val="4"/>
    <w:uiPriority w:val="99"/>
    <w:rsid w:val="00C37F37"/>
    <w:rPr>
      <w:rFonts w:ascii="Calibri" w:eastAsia="Calibri" w:hAnsi="Calibri" w:cs="Times New Roman"/>
      <w:b/>
      <w:bCs/>
      <w:sz w:val="28"/>
      <w:szCs w:val="28"/>
      <w:lang w:val="hu-HU"/>
    </w:rPr>
  </w:style>
  <w:style w:type="character" w:customStyle="1" w:styleId="50">
    <w:name w:val="Заголовок 5 Знак"/>
    <w:basedOn w:val="a0"/>
    <w:link w:val="5"/>
    <w:uiPriority w:val="99"/>
    <w:rsid w:val="00C37F37"/>
    <w:rPr>
      <w:rFonts w:ascii="Calibri" w:eastAsia="Calibri" w:hAnsi="Calibri" w:cs="Times New Roman"/>
      <w:b/>
      <w:bCs/>
      <w:i/>
      <w:iCs/>
      <w:sz w:val="26"/>
      <w:szCs w:val="26"/>
      <w:lang w:val="hu-HU"/>
    </w:rPr>
  </w:style>
  <w:style w:type="character" w:customStyle="1" w:styleId="60">
    <w:name w:val="Заголовок 6 Знак"/>
    <w:basedOn w:val="a0"/>
    <w:link w:val="6"/>
    <w:uiPriority w:val="99"/>
    <w:rsid w:val="00C37F37"/>
    <w:rPr>
      <w:rFonts w:ascii="Calibri" w:eastAsia="Calibri" w:hAnsi="Calibri" w:cs="Times New Roman"/>
      <w:b/>
      <w:bCs/>
      <w:lang w:val="hu-HU"/>
    </w:rPr>
  </w:style>
  <w:style w:type="character" w:customStyle="1" w:styleId="70">
    <w:name w:val="Заголовок 7 Знак"/>
    <w:basedOn w:val="a0"/>
    <w:link w:val="7"/>
    <w:uiPriority w:val="99"/>
    <w:rsid w:val="00C37F37"/>
    <w:rPr>
      <w:rFonts w:ascii="Calibri" w:eastAsia="Calibri" w:hAnsi="Calibri" w:cs="Times New Roman"/>
      <w:sz w:val="24"/>
      <w:szCs w:val="24"/>
      <w:lang w:val="hu-HU"/>
    </w:rPr>
  </w:style>
  <w:style w:type="character" w:customStyle="1" w:styleId="80">
    <w:name w:val="Заголовок 8 Знак"/>
    <w:basedOn w:val="a0"/>
    <w:link w:val="8"/>
    <w:uiPriority w:val="99"/>
    <w:rsid w:val="00C37F37"/>
    <w:rPr>
      <w:rFonts w:ascii="Calibri" w:eastAsia="Calibri" w:hAnsi="Calibri" w:cs="Times New Roman"/>
      <w:i/>
      <w:iCs/>
      <w:sz w:val="24"/>
      <w:szCs w:val="24"/>
      <w:lang w:val="hu-HU"/>
    </w:rPr>
  </w:style>
  <w:style w:type="character" w:customStyle="1" w:styleId="90">
    <w:name w:val="Заголовок 9 Знак"/>
    <w:basedOn w:val="a0"/>
    <w:link w:val="9"/>
    <w:uiPriority w:val="99"/>
    <w:rsid w:val="00C37F37"/>
    <w:rPr>
      <w:rFonts w:ascii="Arial" w:eastAsia="Calibri" w:hAnsi="Arial" w:cs="Times New Roman"/>
      <w:lang w:val="hu-HU"/>
    </w:rPr>
  </w:style>
  <w:style w:type="numbering" w:customStyle="1" w:styleId="NoList1">
    <w:name w:val="No List1"/>
    <w:next w:val="a2"/>
    <w:uiPriority w:val="99"/>
    <w:semiHidden/>
    <w:unhideWhenUsed/>
    <w:rsid w:val="00C37F37"/>
  </w:style>
  <w:style w:type="paragraph" w:customStyle="1" w:styleId="Nincstrkz1">
    <w:name w:val="Nincs térköz1"/>
    <w:uiPriority w:val="1"/>
    <w:qFormat/>
    <w:rsid w:val="00C37F37"/>
    <w:pPr>
      <w:spacing w:after="0" w:line="240" w:lineRule="auto"/>
    </w:pPr>
    <w:rPr>
      <w:rFonts w:ascii="Calibri" w:eastAsia="Calibri" w:hAnsi="Calibri" w:cs="Times New Roman"/>
      <w:lang w:val="hu-HU"/>
    </w:rPr>
  </w:style>
  <w:style w:type="paragraph" w:customStyle="1" w:styleId="Default">
    <w:name w:val="Default"/>
    <w:rsid w:val="00C37F37"/>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af5">
    <w:name w:val="Strong"/>
    <w:basedOn w:val="a0"/>
    <w:uiPriority w:val="22"/>
    <w:qFormat/>
    <w:rsid w:val="00C37F37"/>
    <w:rPr>
      <w:b/>
      <w:bCs/>
    </w:rPr>
  </w:style>
  <w:style w:type="character" w:customStyle="1" w:styleId="apple-converted-space">
    <w:name w:val="apple-converted-space"/>
    <w:basedOn w:val="a0"/>
    <w:rsid w:val="00C37F37"/>
  </w:style>
  <w:style w:type="paragraph" w:styleId="af6">
    <w:name w:val="Normal (Web)"/>
    <w:basedOn w:val="a"/>
    <w:uiPriority w:val="99"/>
    <w:unhideWhenUsed/>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TableGrid3">
    <w:name w:val="Table Grid3"/>
    <w:basedOn w:val="a1"/>
    <w:next w:val="ac"/>
    <w:uiPriority w:val="59"/>
    <w:rsid w:val="00C37F3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C37F37"/>
    <w:rPr>
      <w:i/>
      <w:iCs/>
    </w:rPr>
  </w:style>
  <w:style w:type="paragraph" w:customStyle="1" w:styleId="search-snippet">
    <w:name w:val="search-snippet"/>
    <w:basedOn w:val="a"/>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earch-info">
    <w:name w:val="search-info"/>
    <w:basedOn w:val="a"/>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username">
    <w:name w:val="username"/>
    <w:basedOn w:val="a0"/>
    <w:rsid w:val="00C37F37"/>
  </w:style>
  <w:style w:type="character" w:styleId="af8">
    <w:name w:val="FollowedHyperlink"/>
    <w:basedOn w:val="a0"/>
    <w:uiPriority w:val="99"/>
    <w:semiHidden/>
    <w:unhideWhenUsed/>
    <w:rsid w:val="00C37F37"/>
    <w:rPr>
      <w:color w:val="800080" w:themeColor="followedHyperlink"/>
      <w:u w:val="single"/>
    </w:rPr>
  </w:style>
  <w:style w:type="paragraph" w:styleId="af9">
    <w:name w:val="Title"/>
    <w:basedOn w:val="a"/>
    <w:link w:val="afa"/>
    <w:uiPriority w:val="10"/>
    <w:rsid w:val="00C37F37"/>
    <w:pPr>
      <w:spacing w:before="240" w:after="240" w:line="240" w:lineRule="auto"/>
      <w:ind w:right="2268"/>
    </w:pPr>
    <w:rPr>
      <w:rFonts w:ascii="Times New Roman" w:eastAsia="Times New Roman" w:hAnsi="Times New Roman" w:cs="Times New Roman"/>
      <w:b/>
      <w:bCs/>
      <w:sz w:val="28"/>
      <w:szCs w:val="28"/>
      <w:lang w:val="ru-RU" w:eastAsia="ru-RU"/>
    </w:rPr>
  </w:style>
  <w:style w:type="character" w:customStyle="1" w:styleId="afa">
    <w:name w:val="Название Знак"/>
    <w:basedOn w:val="a0"/>
    <w:link w:val="af9"/>
    <w:uiPriority w:val="10"/>
    <w:rsid w:val="00C37F37"/>
    <w:rPr>
      <w:rFonts w:ascii="Times New Roman" w:eastAsia="Times New Roman" w:hAnsi="Times New Roman" w:cs="Times New Roman"/>
      <w:b/>
      <w:bCs/>
      <w:sz w:val="28"/>
      <w:szCs w:val="28"/>
      <w:lang w:val="ru-RU" w:eastAsia="ru-RU"/>
    </w:rPr>
  </w:style>
  <w:style w:type="paragraph" w:customStyle="1" w:styleId="newncpi">
    <w:name w:val="newncpi"/>
    <w:basedOn w:val="a"/>
    <w:rsid w:val="00C37F37"/>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newncpi0">
    <w:name w:val="newncpi0"/>
    <w:basedOn w:val="a"/>
    <w:rsid w:val="00C37F37"/>
    <w:pPr>
      <w:spacing w:after="0" w:line="240" w:lineRule="auto"/>
      <w:jc w:val="both"/>
    </w:pPr>
    <w:rPr>
      <w:rFonts w:ascii="Times New Roman" w:eastAsiaTheme="minorEastAsia" w:hAnsi="Times New Roman" w:cs="Times New Roman"/>
      <w:sz w:val="24"/>
      <w:szCs w:val="24"/>
      <w:lang w:val="ru-RU" w:eastAsia="ru-RU"/>
    </w:rPr>
  </w:style>
  <w:style w:type="character" w:customStyle="1" w:styleId="name">
    <w:name w:val="name"/>
    <w:basedOn w:val="a0"/>
    <w:rsid w:val="00C37F37"/>
    <w:rPr>
      <w:rFonts w:ascii="Times New Roman" w:hAnsi="Times New Roman" w:cs="Times New Roman"/>
      <w:caps/>
    </w:rPr>
  </w:style>
  <w:style w:type="character" w:customStyle="1" w:styleId="promulgator">
    <w:name w:val="promulgator"/>
    <w:basedOn w:val="a0"/>
    <w:rsid w:val="00C37F37"/>
    <w:rPr>
      <w:rFonts w:ascii="Times New Roman" w:hAnsi="Times New Roman" w:cs="Times New Roman"/>
      <w:caps/>
    </w:rPr>
  </w:style>
  <w:style w:type="character" w:customStyle="1" w:styleId="datepr">
    <w:name w:val="datepr"/>
    <w:basedOn w:val="a0"/>
    <w:rsid w:val="00C37F37"/>
    <w:rPr>
      <w:rFonts w:ascii="Times New Roman" w:hAnsi="Times New Roman" w:cs="Times New Roman"/>
    </w:rPr>
  </w:style>
  <w:style w:type="character" w:customStyle="1" w:styleId="number">
    <w:name w:val="number"/>
    <w:basedOn w:val="a0"/>
    <w:rsid w:val="00C37F37"/>
    <w:rPr>
      <w:rFonts w:ascii="Times New Roman" w:hAnsi="Times New Roman" w:cs="Times New Roman"/>
    </w:rPr>
  </w:style>
  <w:style w:type="character" w:customStyle="1" w:styleId="ae">
    <w:name w:val="Абзац списка Знак"/>
    <w:basedOn w:val="a0"/>
    <w:link w:val="ad"/>
    <w:uiPriority w:val="34"/>
    <w:rsid w:val="00C37F37"/>
  </w:style>
  <w:style w:type="character" w:customStyle="1" w:styleId="apple-style-span">
    <w:name w:val="apple-style-span"/>
    <w:rsid w:val="00C37F37"/>
    <w:rPr>
      <w:rFonts w:cs="Times New Roman"/>
    </w:rPr>
  </w:style>
  <w:style w:type="character" w:customStyle="1" w:styleId="LbjegyzetszvegChar">
    <w:name w:val="Lábjegyzetszöveg Char"/>
    <w:basedOn w:val="a0"/>
    <w:rsid w:val="00C37F37"/>
  </w:style>
  <w:style w:type="character" w:customStyle="1" w:styleId="reference-text">
    <w:name w:val="reference-text"/>
    <w:basedOn w:val="a0"/>
    <w:rsid w:val="00C37F37"/>
  </w:style>
  <w:style w:type="paragraph" w:styleId="afb">
    <w:name w:val="TOC Heading"/>
    <w:basedOn w:val="1"/>
    <w:next w:val="a"/>
    <w:uiPriority w:val="39"/>
    <w:unhideWhenUsed/>
    <w:qFormat/>
    <w:rsid w:val="00C37F3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11">
    <w:name w:val="toc 1"/>
    <w:basedOn w:val="a"/>
    <w:next w:val="a"/>
    <w:autoRedefine/>
    <w:uiPriority w:val="39"/>
    <w:unhideWhenUsed/>
    <w:qFormat/>
    <w:rsid w:val="00AC47E3"/>
    <w:pPr>
      <w:tabs>
        <w:tab w:val="left" w:pos="1600"/>
        <w:tab w:val="right" w:leader="dot" w:pos="9016"/>
      </w:tabs>
      <w:spacing w:after="0"/>
      <w:jc w:val="both"/>
    </w:pPr>
    <w:rPr>
      <w:rFonts w:asciiTheme="majorHAnsi" w:hAnsiTheme="majorHAnsi"/>
      <w:b/>
      <w:bCs/>
      <w:caps/>
      <w:sz w:val="24"/>
      <w:szCs w:val="24"/>
    </w:rPr>
  </w:style>
  <w:style w:type="paragraph" w:styleId="21">
    <w:name w:val="toc 2"/>
    <w:basedOn w:val="a"/>
    <w:next w:val="a"/>
    <w:autoRedefine/>
    <w:uiPriority w:val="39"/>
    <w:unhideWhenUsed/>
    <w:qFormat/>
    <w:rsid w:val="00C37F37"/>
    <w:pPr>
      <w:spacing w:before="240" w:after="0"/>
    </w:pPr>
    <w:rPr>
      <w:rFonts w:cstheme="minorHAnsi"/>
      <w:b/>
      <w:bCs/>
      <w:sz w:val="20"/>
      <w:szCs w:val="20"/>
    </w:rPr>
  </w:style>
  <w:style w:type="paragraph" w:styleId="31">
    <w:name w:val="toc 3"/>
    <w:basedOn w:val="a"/>
    <w:next w:val="a"/>
    <w:autoRedefine/>
    <w:uiPriority w:val="39"/>
    <w:unhideWhenUsed/>
    <w:qFormat/>
    <w:rsid w:val="00C37F37"/>
    <w:pPr>
      <w:spacing w:after="0"/>
      <w:ind w:left="220"/>
    </w:pPr>
    <w:rPr>
      <w:rFonts w:cstheme="minorHAnsi"/>
      <w:sz w:val="20"/>
      <w:szCs w:val="20"/>
    </w:rPr>
  </w:style>
  <w:style w:type="paragraph" w:customStyle="1" w:styleId="ConsPlusNormal">
    <w:name w:val="ConsPlusNormal"/>
    <w:rsid w:val="00C37F37"/>
    <w:pPr>
      <w:autoSpaceDE w:val="0"/>
      <w:autoSpaceDN w:val="0"/>
      <w:adjustRightInd w:val="0"/>
      <w:spacing w:after="0" w:line="240" w:lineRule="auto"/>
    </w:pPr>
    <w:rPr>
      <w:rFonts w:ascii="Times New Roman" w:hAnsi="Times New Roman" w:cs="Times New Roman"/>
      <w:b/>
      <w:bCs/>
      <w:i/>
      <w:iCs/>
      <w:sz w:val="30"/>
      <w:szCs w:val="30"/>
      <w:lang w:val="ru-RU"/>
    </w:rPr>
  </w:style>
  <w:style w:type="table" w:customStyle="1" w:styleId="GridTable1Light12">
    <w:name w:val="Grid Table 1 Light12"/>
    <w:basedOn w:val="a1"/>
    <w:uiPriority w:val="46"/>
    <w:rsid w:val="00C37F37"/>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c">
    <w:name w:val="Light Shading"/>
    <w:basedOn w:val="a1"/>
    <w:uiPriority w:val="60"/>
    <w:rsid w:val="00C37F37"/>
    <w:pPr>
      <w:spacing w:after="0" w:line="240" w:lineRule="auto"/>
    </w:pPr>
    <w:rPr>
      <w:color w:val="000000" w:themeColor="text1" w:themeShade="BF"/>
      <w:lang w:val="hu-H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
    <w:link w:val="HTML0"/>
    <w:uiPriority w:val="99"/>
    <w:semiHidden/>
    <w:unhideWhenUsed/>
    <w:rsid w:val="00C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0">
    <w:name w:val="Стандартный HTML Знак"/>
    <w:basedOn w:val="a0"/>
    <w:link w:val="HTML"/>
    <w:uiPriority w:val="99"/>
    <w:semiHidden/>
    <w:rsid w:val="00C37F37"/>
    <w:rPr>
      <w:rFonts w:ascii="Courier New" w:eastAsia="Times New Roman" w:hAnsi="Courier New" w:cs="Courier New"/>
      <w:sz w:val="20"/>
      <w:szCs w:val="20"/>
      <w:lang w:val="hu-HU" w:eastAsia="hu-HU"/>
    </w:rPr>
  </w:style>
  <w:style w:type="paragraph" w:styleId="afd">
    <w:name w:val="No Spacing"/>
    <w:uiPriority w:val="1"/>
    <w:qFormat/>
    <w:rsid w:val="00C37F37"/>
    <w:pPr>
      <w:widowControl w:val="0"/>
      <w:spacing w:after="0" w:line="360" w:lineRule="exact"/>
      <w:ind w:firstLine="709"/>
      <w:jc w:val="both"/>
    </w:pPr>
    <w:rPr>
      <w:rFonts w:ascii="Times New Roman" w:eastAsia="Times New Roman" w:hAnsi="Times New Roman" w:cs="Times New Roman"/>
      <w:sz w:val="26"/>
      <w:szCs w:val="20"/>
      <w:lang w:val="ru-RU" w:eastAsia="ru-RU"/>
    </w:rPr>
  </w:style>
  <w:style w:type="paragraph" w:styleId="afe">
    <w:name w:val="endnote text"/>
    <w:basedOn w:val="a"/>
    <w:link w:val="aff"/>
    <w:uiPriority w:val="99"/>
    <w:semiHidden/>
    <w:unhideWhenUsed/>
    <w:rsid w:val="00C37F37"/>
    <w:pPr>
      <w:spacing w:after="0" w:line="240" w:lineRule="auto"/>
    </w:pPr>
    <w:rPr>
      <w:rFonts w:ascii="Cambria" w:hAnsi="Cambria" w:cs="Times New Roman"/>
      <w:sz w:val="20"/>
      <w:szCs w:val="20"/>
      <w:lang w:val="el-GR"/>
    </w:rPr>
  </w:style>
  <w:style w:type="character" w:customStyle="1" w:styleId="aff">
    <w:name w:val="Текст концевой сноски Знак"/>
    <w:basedOn w:val="a0"/>
    <w:link w:val="afe"/>
    <w:uiPriority w:val="99"/>
    <w:semiHidden/>
    <w:rsid w:val="00C37F37"/>
    <w:rPr>
      <w:rFonts w:ascii="Cambria" w:hAnsi="Cambria" w:cs="Times New Roman"/>
      <w:sz w:val="20"/>
      <w:szCs w:val="20"/>
      <w:lang w:val="el-GR"/>
    </w:rPr>
  </w:style>
  <w:style w:type="character" w:styleId="aff0">
    <w:name w:val="endnote reference"/>
    <w:basedOn w:val="a0"/>
    <w:uiPriority w:val="99"/>
    <w:semiHidden/>
    <w:unhideWhenUsed/>
    <w:rsid w:val="00C37F37"/>
    <w:rPr>
      <w:vertAlign w:val="superscript"/>
    </w:rPr>
  </w:style>
  <w:style w:type="character" w:customStyle="1" w:styleId="ftdotcom">
    <w:name w:val="ftdotcom"/>
    <w:basedOn w:val="a0"/>
    <w:rsid w:val="00C37F37"/>
  </w:style>
  <w:style w:type="paragraph" w:styleId="aff1">
    <w:name w:val="Subtitle"/>
    <w:basedOn w:val="a"/>
    <w:next w:val="a"/>
    <w:link w:val="aff2"/>
    <w:uiPriority w:val="11"/>
    <w:qFormat/>
    <w:rsid w:val="00C37F37"/>
    <w:pPr>
      <w:numPr>
        <w:ilvl w:val="1"/>
      </w:numPr>
      <w:spacing w:after="0" w:line="240" w:lineRule="auto"/>
    </w:pPr>
    <w:rPr>
      <w:rFonts w:asciiTheme="majorHAnsi" w:eastAsiaTheme="majorEastAsia" w:hAnsiTheme="majorHAnsi" w:cstheme="majorBidi"/>
      <w:i/>
      <w:iCs/>
      <w:color w:val="4F81BD" w:themeColor="accent1"/>
      <w:spacing w:val="15"/>
      <w:sz w:val="24"/>
      <w:szCs w:val="24"/>
      <w:lang w:val="el-GR"/>
    </w:rPr>
  </w:style>
  <w:style w:type="character" w:customStyle="1" w:styleId="aff2">
    <w:name w:val="Подзаголовок Знак"/>
    <w:basedOn w:val="a0"/>
    <w:link w:val="aff1"/>
    <w:uiPriority w:val="11"/>
    <w:rsid w:val="00C37F37"/>
    <w:rPr>
      <w:rFonts w:asciiTheme="majorHAnsi" w:eastAsiaTheme="majorEastAsia" w:hAnsiTheme="majorHAnsi" w:cstheme="majorBidi"/>
      <w:i/>
      <w:iCs/>
      <w:color w:val="4F81BD" w:themeColor="accent1"/>
      <w:spacing w:val="15"/>
      <w:sz w:val="24"/>
      <w:szCs w:val="24"/>
      <w:lang w:val="el-GR"/>
    </w:rPr>
  </w:style>
  <w:style w:type="character" w:styleId="aff3">
    <w:name w:val="Subtle Emphasis"/>
    <w:basedOn w:val="a0"/>
    <w:uiPriority w:val="19"/>
    <w:qFormat/>
    <w:rsid w:val="00C37F37"/>
    <w:rPr>
      <w:i/>
      <w:iCs/>
      <w:color w:val="808080" w:themeColor="text1" w:themeTint="7F"/>
    </w:rPr>
  </w:style>
  <w:style w:type="character" w:styleId="aff4">
    <w:name w:val="Intense Emphasis"/>
    <w:basedOn w:val="a0"/>
    <w:uiPriority w:val="21"/>
    <w:qFormat/>
    <w:rsid w:val="00C37F37"/>
    <w:rPr>
      <w:b/>
      <w:bCs/>
      <w:i/>
      <w:iCs/>
      <w:color w:val="4F81BD" w:themeColor="accent1"/>
    </w:rPr>
  </w:style>
  <w:style w:type="table" w:customStyle="1" w:styleId="TableGrid4">
    <w:name w:val="Table Grid4"/>
    <w:basedOn w:val="a1"/>
    <w:next w:val="ac"/>
    <w:uiPriority w:val="59"/>
    <w:rsid w:val="0084317D"/>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c"/>
    <w:rsid w:val="00297B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a"/>
    <w:qFormat/>
    <w:rsid w:val="00297B88"/>
    <w:pPr>
      <w:keepLines/>
      <w:spacing w:before="180" w:after="120" w:line="330" w:lineRule="atLeast"/>
      <w:ind w:left="567" w:hanging="567"/>
      <w:jc w:val="both"/>
    </w:pPr>
    <w:rPr>
      <w:rFonts w:ascii="Arial" w:eastAsia="Times New Roman" w:hAnsi="Arial" w:cs="Times New Roman"/>
      <w:lang w:val="de-DE" w:eastAsia="de-DE"/>
    </w:rPr>
  </w:style>
  <w:style w:type="numbering" w:customStyle="1" w:styleId="NoList2">
    <w:name w:val="No List2"/>
    <w:next w:val="a2"/>
    <w:uiPriority w:val="99"/>
    <w:semiHidden/>
    <w:unhideWhenUsed/>
    <w:rsid w:val="00575FE8"/>
  </w:style>
  <w:style w:type="table" w:customStyle="1" w:styleId="TableGrid6">
    <w:name w:val="Table Grid6"/>
    <w:basedOn w:val="a1"/>
    <w:next w:val="ac"/>
    <w:rsid w:val="00575FE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2"/>
    <w:locked/>
    <w:rsid w:val="00575FE8"/>
    <w:rPr>
      <w:sz w:val="29"/>
      <w:szCs w:val="29"/>
      <w:shd w:val="clear" w:color="auto" w:fill="FFFFFF"/>
    </w:rPr>
  </w:style>
  <w:style w:type="paragraph" w:customStyle="1" w:styleId="12">
    <w:name w:val="Основной текст1"/>
    <w:basedOn w:val="a"/>
    <w:link w:val="aff5"/>
    <w:rsid w:val="00575FE8"/>
    <w:pPr>
      <w:widowControl w:val="0"/>
      <w:shd w:val="clear" w:color="auto" w:fill="FFFFFF"/>
      <w:spacing w:after="120" w:line="240" w:lineRule="atLeast"/>
    </w:pPr>
    <w:rPr>
      <w:sz w:val="29"/>
      <w:szCs w:val="29"/>
    </w:rPr>
  </w:style>
  <w:style w:type="paragraph" w:customStyle="1" w:styleId="Quelle">
    <w:name w:val="Quelle"/>
    <w:basedOn w:val="12"/>
    <w:link w:val="QuelleZchn"/>
    <w:qFormat/>
    <w:rsid w:val="00575FE8"/>
    <w:pPr>
      <w:shd w:val="clear" w:color="auto" w:fill="auto"/>
      <w:spacing w:before="120" w:after="0" w:line="240" w:lineRule="auto"/>
      <w:ind w:left="23" w:right="23" w:hanging="23"/>
      <w:jc w:val="both"/>
    </w:pPr>
    <w:rPr>
      <w:rFonts w:ascii="Arial" w:hAnsi="Arial" w:cs="Arial"/>
      <w:sz w:val="20"/>
      <w:szCs w:val="20"/>
      <w:lang w:val="en-US"/>
    </w:rPr>
  </w:style>
  <w:style w:type="character" w:customStyle="1" w:styleId="QuelleZchn">
    <w:name w:val="Quelle Zchn"/>
    <w:basedOn w:val="aff5"/>
    <w:link w:val="Quelle"/>
    <w:rsid w:val="00575FE8"/>
    <w:rPr>
      <w:rFonts w:ascii="Arial" w:hAnsi="Arial" w:cs="Arial"/>
      <w:sz w:val="20"/>
      <w:szCs w:val="20"/>
      <w:shd w:val="clear" w:color="auto" w:fill="FFFFFF"/>
      <w:lang w:val="en-US"/>
    </w:rPr>
  </w:style>
  <w:style w:type="character" w:styleId="aff6">
    <w:name w:val="page number"/>
    <w:basedOn w:val="a0"/>
    <w:rsid w:val="00575FE8"/>
    <w:rPr>
      <w:rFonts w:ascii="Arial" w:hAnsi="Arial"/>
      <w:sz w:val="20"/>
    </w:rPr>
  </w:style>
  <w:style w:type="paragraph" w:customStyle="1" w:styleId="Tabelle">
    <w:name w:val="Tabelle"/>
    <w:basedOn w:val="12"/>
    <w:link w:val="TabelleZchn"/>
    <w:qFormat/>
    <w:rsid w:val="00575FE8"/>
    <w:pPr>
      <w:shd w:val="clear" w:color="auto" w:fill="auto"/>
      <w:spacing w:after="80" w:line="341" w:lineRule="exact"/>
      <w:ind w:left="23" w:right="23" w:hanging="23"/>
      <w:jc w:val="both"/>
    </w:pPr>
    <w:rPr>
      <w:rFonts w:ascii="Arial" w:eastAsiaTheme="minorEastAsia" w:hAnsi="Arial" w:cs="Arial"/>
      <w:lang w:val="en-US" w:eastAsia="de-DE"/>
    </w:rPr>
  </w:style>
  <w:style w:type="character" w:customStyle="1" w:styleId="TabelleZchn">
    <w:name w:val="Tabelle Zchn"/>
    <w:basedOn w:val="aff5"/>
    <w:link w:val="Tabelle"/>
    <w:rsid w:val="00575FE8"/>
    <w:rPr>
      <w:rFonts w:ascii="Arial" w:eastAsiaTheme="minorEastAsia" w:hAnsi="Arial" w:cs="Arial"/>
      <w:sz w:val="29"/>
      <w:szCs w:val="29"/>
      <w:shd w:val="clear" w:color="auto" w:fill="FFFFFF"/>
      <w:lang w:val="en-US" w:eastAsia="de-DE"/>
    </w:rPr>
  </w:style>
  <w:style w:type="paragraph" w:styleId="41">
    <w:name w:val="toc 4"/>
    <w:basedOn w:val="a"/>
    <w:next w:val="a"/>
    <w:autoRedefine/>
    <w:uiPriority w:val="39"/>
    <w:unhideWhenUsed/>
    <w:rsid w:val="008F4A5F"/>
    <w:pPr>
      <w:spacing w:after="0"/>
      <w:ind w:left="440"/>
    </w:pPr>
    <w:rPr>
      <w:rFonts w:cstheme="minorHAnsi"/>
      <w:sz w:val="20"/>
      <w:szCs w:val="20"/>
    </w:rPr>
  </w:style>
  <w:style w:type="paragraph" w:styleId="51">
    <w:name w:val="toc 5"/>
    <w:basedOn w:val="a"/>
    <w:next w:val="a"/>
    <w:autoRedefine/>
    <w:uiPriority w:val="39"/>
    <w:unhideWhenUsed/>
    <w:rsid w:val="008F4A5F"/>
    <w:pPr>
      <w:spacing w:after="0"/>
      <w:ind w:left="660"/>
    </w:pPr>
    <w:rPr>
      <w:rFonts w:cstheme="minorHAnsi"/>
      <w:sz w:val="20"/>
      <w:szCs w:val="20"/>
    </w:rPr>
  </w:style>
  <w:style w:type="paragraph" w:styleId="61">
    <w:name w:val="toc 6"/>
    <w:basedOn w:val="a"/>
    <w:next w:val="a"/>
    <w:autoRedefine/>
    <w:uiPriority w:val="39"/>
    <w:unhideWhenUsed/>
    <w:rsid w:val="008F4A5F"/>
    <w:pPr>
      <w:spacing w:after="0"/>
      <w:ind w:left="880"/>
    </w:pPr>
    <w:rPr>
      <w:rFonts w:cstheme="minorHAnsi"/>
      <w:sz w:val="20"/>
      <w:szCs w:val="20"/>
    </w:rPr>
  </w:style>
  <w:style w:type="paragraph" w:styleId="71">
    <w:name w:val="toc 7"/>
    <w:basedOn w:val="a"/>
    <w:next w:val="a"/>
    <w:autoRedefine/>
    <w:uiPriority w:val="39"/>
    <w:unhideWhenUsed/>
    <w:rsid w:val="008F4A5F"/>
    <w:pPr>
      <w:spacing w:after="0"/>
      <w:ind w:left="1100"/>
    </w:pPr>
    <w:rPr>
      <w:rFonts w:cstheme="minorHAnsi"/>
      <w:sz w:val="20"/>
      <w:szCs w:val="20"/>
    </w:rPr>
  </w:style>
  <w:style w:type="paragraph" w:styleId="81">
    <w:name w:val="toc 8"/>
    <w:basedOn w:val="a"/>
    <w:next w:val="a"/>
    <w:autoRedefine/>
    <w:uiPriority w:val="39"/>
    <w:unhideWhenUsed/>
    <w:rsid w:val="008F4A5F"/>
    <w:pPr>
      <w:spacing w:after="0"/>
      <w:ind w:left="1320"/>
    </w:pPr>
    <w:rPr>
      <w:rFonts w:cstheme="minorHAnsi"/>
      <w:sz w:val="20"/>
      <w:szCs w:val="20"/>
    </w:rPr>
  </w:style>
  <w:style w:type="paragraph" w:styleId="91">
    <w:name w:val="toc 9"/>
    <w:basedOn w:val="a"/>
    <w:next w:val="a"/>
    <w:autoRedefine/>
    <w:uiPriority w:val="39"/>
    <w:unhideWhenUsed/>
    <w:rsid w:val="008F4A5F"/>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37F37"/>
    <w:pPr>
      <w:keepNext/>
      <w:numPr>
        <w:numId w:val="6"/>
      </w:numPr>
      <w:spacing w:before="240" w:after="60"/>
      <w:outlineLvl w:val="0"/>
    </w:pPr>
    <w:rPr>
      <w:rFonts w:ascii="Arial" w:eastAsia="Calibri" w:hAnsi="Arial" w:cs="Times New Roman"/>
      <w:b/>
      <w:bCs/>
      <w:kern w:val="32"/>
      <w:sz w:val="32"/>
      <w:szCs w:val="32"/>
      <w:lang w:val="hu-HU"/>
    </w:rPr>
  </w:style>
  <w:style w:type="paragraph" w:styleId="2">
    <w:name w:val="heading 2"/>
    <w:basedOn w:val="a"/>
    <w:next w:val="a"/>
    <w:link w:val="20"/>
    <w:uiPriority w:val="99"/>
    <w:qFormat/>
    <w:rsid w:val="00C37F37"/>
    <w:pPr>
      <w:keepNext/>
      <w:numPr>
        <w:ilvl w:val="1"/>
        <w:numId w:val="6"/>
      </w:numPr>
      <w:spacing w:before="240" w:after="60"/>
      <w:outlineLvl w:val="1"/>
    </w:pPr>
    <w:rPr>
      <w:rFonts w:ascii="Arial" w:eastAsia="Calibri" w:hAnsi="Arial" w:cs="Times New Roman"/>
      <w:b/>
      <w:bCs/>
      <w:i/>
      <w:iCs/>
      <w:sz w:val="28"/>
      <w:szCs w:val="28"/>
      <w:lang w:val="hu-HU"/>
    </w:rPr>
  </w:style>
  <w:style w:type="paragraph" w:styleId="3">
    <w:name w:val="heading 3"/>
    <w:basedOn w:val="a"/>
    <w:next w:val="a"/>
    <w:link w:val="30"/>
    <w:uiPriority w:val="99"/>
    <w:qFormat/>
    <w:rsid w:val="00C37F37"/>
    <w:pPr>
      <w:keepNext/>
      <w:numPr>
        <w:ilvl w:val="2"/>
        <w:numId w:val="6"/>
      </w:numPr>
      <w:spacing w:before="240" w:after="60"/>
      <w:outlineLvl w:val="2"/>
    </w:pPr>
    <w:rPr>
      <w:rFonts w:ascii="Arial" w:eastAsia="Calibri" w:hAnsi="Arial" w:cs="Times New Roman"/>
      <w:b/>
      <w:bCs/>
      <w:sz w:val="26"/>
      <w:szCs w:val="26"/>
      <w:lang w:val="x-none"/>
    </w:rPr>
  </w:style>
  <w:style w:type="paragraph" w:styleId="4">
    <w:name w:val="heading 4"/>
    <w:basedOn w:val="a"/>
    <w:next w:val="a"/>
    <w:link w:val="40"/>
    <w:uiPriority w:val="99"/>
    <w:qFormat/>
    <w:rsid w:val="00C37F37"/>
    <w:pPr>
      <w:keepNext/>
      <w:numPr>
        <w:ilvl w:val="3"/>
        <w:numId w:val="6"/>
      </w:numPr>
      <w:tabs>
        <w:tab w:val="clear" w:pos="4550"/>
        <w:tab w:val="num" w:pos="864"/>
      </w:tabs>
      <w:spacing w:before="240" w:after="60"/>
      <w:ind w:left="864"/>
      <w:outlineLvl w:val="3"/>
    </w:pPr>
    <w:rPr>
      <w:rFonts w:ascii="Calibri" w:eastAsia="Calibri" w:hAnsi="Calibri" w:cs="Times New Roman"/>
      <w:b/>
      <w:bCs/>
      <w:sz w:val="28"/>
      <w:szCs w:val="28"/>
      <w:lang w:val="hu-HU"/>
    </w:rPr>
  </w:style>
  <w:style w:type="paragraph" w:styleId="5">
    <w:name w:val="heading 5"/>
    <w:basedOn w:val="a"/>
    <w:next w:val="a"/>
    <w:link w:val="50"/>
    <w:uiPriority w:val="99"/>
    <w:qFormat/>
    <w:rsid w:val="00C37F37"/>
    <w:pPr>
      <w:numPr>
        <w:ilvl w:val="4"/>
        <w:numId w:val="6"/>
      </w:numPr>
      <w:tabs>
        <w:tab w:val="clear" w:pos="6537"/>
        <w:tab w:val="num" w:pos="1008"/>
      </w:tabs>
      <w:spacing w:before="240" w:after="60"/>
      <w:ind w:left="1008"/>
      <w:outlineLvl w:val="4"/>
    </w:pPr>
    <w:rPr>
      <w:rFonts w:ascii="Calibri" w:eastAsia="Calibri" w:hAnsi="Calibri" w:cs="Times New Roman"/>
      <w:b/>
      <w:bCs/>
      <w:i/>
      <w:iCs/>
      <w:sz w:val="26"/>
      <w:szCs w:val="26"/>
      <w:lang w:val="hu-HU"/>
    </w:rPr>
  </w:style>
  <w:style w:type="paragraph" w:styleId="6">
    <w:name w:val="heading 6"/>
    <w:basedOn w:val="a"/>
    <w:next w:val="a"/>
    <w:link w:val="60"/>
    <w:uiPriority w:val="99"/>
    <w:qFormat/>
    <w:rsid w:val="00C37F37"/>
    <w:pPr>
      <w:numPr>
        <w:ilvl w:val="5"/>
        <w:numId w:val="6"/>
      </w:numPr>
      <w:spacing w:before="240" w:after="60"/>
      <w:outlineLvl w:val="5"/>
    </w:pPr>
    <w:rPr>
      <w:rFonts w:ascii="Calibri" w:eastAsia="Calibri" w:hAnsi="Calibri" w:cs="Times New Roman"/>
      <w:b/>
      <w:bCs/>
      <w:lang w:val="hu-HU"/>
    </w:rPr>
  </w:style>
  <w:style w:type="paragraph" w:styleId="7">
    <w:name w:val="heading 7"/>
    <w:basedOn w:val="a"/>
    <w:next w:val="a"/>
    <w:link w:val="70"/>
    <w:uiPriority w:val="99"/>
    <w:qFormat/>
    <w:rsid w:val="00C37F37"/>
    <w:pPr>
      <w:numPr>
        <w:ilvl w:val="6"/>
        <w:numId w:val="6"/>
      </w:numPr>
      <w:spacing w:before="240" w:after="60"/>
      <w:outlineLvl w:val="6"/>
    </w:pPr>
    <w:rPr>
      <w:rFonts w:ascii="Calibri" w:eastAsia="Calibri" w:hAnsi="Calibri" w:cs="Times New Roman"/>
      <w:sz w:val="24"/>
      <w:szCs w:val="24"/>
      <w:lang w:val="hu-HU"/>
    </w:rPr>
  </w:style>
  <w:style w:type="paragraph" w:styleId="8">
    <w:name w:val="heading 8"/>
    <w:basedOn w:val="a"/>
    <w:next w:val="a"/>
    <w:link w:val="80"/>
    <w:uiPriority w:val="99"/>
    <w:qFormat/>
    <w:rsid w:val="00C37F37"/>
    <w:pPr>
      <w:numPr>
        <w:ilvl w:val="7"/>
        <w:numId w:val="6"/>
      </w:numPr>
      <w:spacing w:before="240" w:after="60"/>
      <w:outlineLvl w:val="7"/>
    </w:pPr>
    <w:rPr>
      <w:rFonts w:ascii="Calibri" w:eastAsia="Calibri" w:hAnsi="Calibri" w:cs="Times New Roman"/>
      <w:i/>
      <w:iCs/>
      <w:sz w:val="24"/>
      <w:szCs w:val="24"/>
      <w:lang w:val="hu-HU"/>
    </w:rPr>
  </w:style>
  <w:style w:type="paragraph" w:styleId="9">
    <w:name w:val="heading 9"/>
    <w:basedOn w:val="a"/>
    <w:next w:val="a"/>
    <w:link w:val="90"/>
    <w:uiPriority w:val="99"/>
    <w:qFormat/>
    <w:rsid w:val="00C37F37"/>
    <w:pPr>
      <w:numPr>
        <w:ilvl w:val="8"/>
        <w:numId w:val="6"/>
      </w:numPr>
      <w:spacing w:before="240" w:after="60"/>
      <w:outlineLvl w:val="8"/>
    </w:pPr>
    <w:rPr>
      <w:rFonts w:ascii="Arial" w:eastAsia="Calibri" w:hAnsi="Arial" w:cs="Times New Roman"/>
      <w:lang w:val="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55538"/>
    <w:pPr>
      <w:spacing w:after="0" w:line="240" w:lineRule="auto"/>
      <w:jc w:val="both"/>
    </w:pPr>
    <w:rPr>
      <w:rFonts w:ascii="Times New Roman" w:hAnsi="Times New Roman" w:cs="Times New Roman"/>
      <w:sz w:val="20"/>
      <w:szCs w:val="20"/>
    </w:rPr>
  </w:style>
  <w:style w:type="character" w:customStyle="1" w:styleId="a4">
    <w:name w:val="Текст сноски Знак"/>
    <w:basedOn w:val="a0"/>
    <w:link w:val="a3"/>
    <w:uiPriority w:val="99"/>
    <w:rsid w:val="00A55538"/>
    <w:rPr>
      <w:rFonts w:ascii="Times New Roman" w:hAnsi="Times New Roman" w:cs="Times New Roman"/>
      <w:sz w:val="20"/>
      <w:szCs w:val="20"/>
    </w:rPr>
  </w:style>
  <w:style w:type="character" w:styleId="a5">
    <w:name w:val="footnote reference"/>
    <w:basedOn w:val="a0"/>
    <w:uiPriority w:val="99"/>
    <w:unhideWhenUsed/>
    <w:rsid w:val="00A55538"/>
    <w:rPr>
      <w:vertAlign w:val="superscript"/>
    </w:rPr>
  </w:style>
  <w:style w:type="paragraph" w:styleId="a6">
    <w:name w:val="header"/>
    <w:basedOn w:val="a"/>
    <w:link w:val="a7"/>
    <w:unhideWhenUsed/>
    <w:rsid w:val="00EC092B"/>
    <w:pPr>
      <w:tabs>
        <w:tab w:val="center" w:pos="4513"/>
        <w:tab w:val="right" w:pos="9026"/>
      </w:tabs>
      <w:spacing w:after="0" w:line="240" w:lineRule="auto"/>
    </w:pPr>
  </w:style>
  <w:style w:type="character" w:customStyle="1" w:styleId="a7">
    <w:name w:val="Верхний колонтитул Знак"/>
    <w:basedOn w:val="a0"/>
    <w:link w:val="a6"/>
    <w:rsid w:val="00EC092B"/>
  </w:style>
  <w:style w:type="paragraph" w:styleId="a8">
    <w:name w:val="footer"/>
    <w:basedOn w:val="a"/>
    <w:link w:val="a9"/>
    <w:uiPriority w:val="99"/>
    <w:unhideWhenUsed/>
    <w:rsid w:val="00EC092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EC092B"/>
  </w:style>
  <w:style w:type="paragraph" w:styleId="aa">
    <w:name w:val="Balloon Text"/>
    <w:basedOn w:val="a"/>
    <w:link w:val="ab"/>
    <w:uiPriority w:val="99"/>
    <w:semiHidden/>
    <w:unhideWhenUsed/>
    <w:rsid w:val="006F2E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2E30"/>
    <w:rPr>
      <w:rFonts w:ascii="Tahoma" w:hAnsi="Tahoma" w:cs="Tahoma"/>
      <w:sz w:val="16"/>
      <w:szCs w:val="16"/>
    </w:rPr>
  </w:style>
  <w:style w:type="table" w:styleId="ac">
    <w:name w:val="Table Grid"/>
    <w:basedOn w:val="a1"/>
    <w:uiPriority w:val="59"/>
    <w:rsid w:val="00043091"/>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043091"/>
    <w:pPr>
      <w:ind w:left="720"/>
      <w:contextualSpacing/>
    </w:pPr>
  </w:style>
  <w:style w:type="table" w:customStyle="1" w:styleId="TableGrid1">
    <w:name w:val="Table Grid1"/>
    <w:basedOn w:val="a1"/>
    <w:next w:val="ac"/>
    <w:uiPriority w:val="59"/>
    <w:rsid w:val="00C65103"/>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65103"/>
    <w:rPr>
      <w:color w:val="0000FF" w:themeColor="hyperlink"/>
      <w:u w:val="single"/>
    </w:rPr>
  </w:style>
  <w:style w:type="table" w:customStyle="1" w:styleId="GridTable1Light1">
    <w:name w:val="Grid Table 1 Light1"/>
    <w:basedOn w:val="a1"/>
    <w:uiPriority w:val="46"/>
    <w:rsid w:val="00C65103"/>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annotation reference"/>
    <w:basedOn w:val="a0"/>
    <w:uiPriority w:val="99"/>
    <w:semiHidden/>
    <w:unhideWhenUsed/>
    <w:rsid w:val="00C65103"/>
    <w:rPr>
      <w:sz w:val="16"/>
      <w:szCs w:val="16"/>
    </w:rPr>
  </w:style>
  <w:style w:type="paragraph" w:styleId="af1">
    <w:name w:val="annotation text"/>
    <w:basedOn w:val="a"/>
    <w:link w:val="af2"/>
    <w:uiPriority w:val="99"/>
    <w:semiHidden/>
    <w:unhideWhenUsed/>
    <w:rsid w:val="00C65103"/>
    <w:pPr>
      <w:spacing w:after="0" w:line="240" w:lineRule="auto"/>
    </w:pPr>
    <w:rPr>
      <w:rFonts w:ascii="Cambria" w:hAnsi="Cambria" w:cs="Times New Roman"/>
      <w:sz w:val="20"/>
      <w:szCs w:val="20"/>
      <w:lang w:val="el-GR"/>
    </w:rPr>
  </w:style>
  <w:style w:type="character" w:customStyle="1" w:styleId="af2">
    <w:name w:val="Текст примечания Знак"/>
    <w:basedOn w:val="a0"/>
    <w:link w:val="af1"/>
    <w:uiPriority w:val="99"/>
    <w:semiHidden/>
    <w:rsid w:val="00C65103"/>
    <w:rPr>
      <w:rFonts w:ascii="Cambria" w:hAnsi="Cambria" w:cs="Times New Roman"/>
      <w:sz w:val="20"/>
      <w:szCs w:val="20"/>
      <w:lang w:val="el-GR"/>
    </w:rPr>
  </w:style>
  <w:style w:type="paragraph" w:styleId="af3">
    <w:name w:val="annotation subject"/>
    <w:basedOn w:val="af1"/>
    <w:next w:val="af1"/>
    <w:link w:val="af4"/>
    <w:uiPriority w:val="99"/>
    <w:semiHidden/>
    <w:unhideWhenUsed/>
    <w:rsid w:val="002B3230"/>
    <w:pPr>
      <w:spacing w:after="200"/>
    </w:pPr>
    <w:rPr>
      <w:rFonts w:asciiTheme="minorHAnsi" w:hAnsiTheme="minorHAnsi" w:cstheme="minorBidi"/>
      <w:b/>
      <w:bCs/>
      <w:lang w:val="en-GB"/>
    </w:rPr>
  </w:style>
  <w:style w:type="character" w:customStyle="1" w:styleId="af4">
    <w:name w:val="Тема примечания Знак"/>
    <w:basedOn w:val="af2"/>
    <w:link w:val="af3"/>
    <w:uiPriority w:val="99"/>
    <w:semiHidden/>
    <w:rsid w:val="002B3230"/>
    <w:rPr>
      <w:rFonts w:ascii="Cambria" w:hAnsi="Cambria" w:cs="Times New Roman"/>
      <w:b/>
      <w:bCs/>
      <w:sz w:val="20"/>
      <w:szCs w:val="20"/>
      <w:lang w:val="el-GR"/>
    </w:rPr>
  </w:style>
  <w:style w:type="table" w:customStyle="1" w:styleId="TableGrid2">
    <w:name w:val="Table Grid2"/>
    <w:basedOn w:val="a1"/>
    <w:next w:val="ac"/>
    <w:uiPriority w:val="59"/>
    <w:rsid w:val="00E117A4"/>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E117A4"/>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Заголовок 1 Знак"/>
    <w:basedOn w:val="a0"/>
    <w:link w:val="1"/>
    <w:uiPriority w:val="99"/>
    <w:rsid w:val="00C37F37"/>
    <w:rPr>
      <w:rFonts w:ascii="Arial" w:eastAsia="Calibri" w:hAnsi="Arial" w:cs="Times New Roman"/>
      <w:b/>
      <w:bCs/>
      <w:kern w:val="32"/>
      <w:sz w:val="32"/>
      <w:szCs w:val="32"/>
      <w:lang w:val="hu-HU"/>
    </w:rPr>
  </w:style>
  <w:style w:type="character" w:customStyle="1" w:styleId="20">
    <w:name w:val="Заголовок 2 Знак"/>
    <w:basedOn w:val="a0"/>
    <w:link w:val="2"/>
    <w:uiPriority w:val="99"/>
    <w:rsid w:val="00C37F37"/>
    <w:rPr>
      <w:rFonts w:ascii="Arial" w:eastAsia="Calibri" w:hAnsi="Arial" w:cs="Times New Roman"/>
      <w:b/>
      <w:bCs/>
      <w:i/>
      <w:iCs/>
      <w:sz w:val="28"/>
      <w:szCs w:val="28"/>
      <w:lang w:val="hu-HU"/>
    </w:rPr>
  </w:style>
  <w:style w:type="character" w:customStyle="1" w:styleId="30">
    <w:name w:val="Заголовок 3 Знак"/>
    <w:basedOn w:val="a0"/>
    <w:link w:val="3"/>
    <w:uiPriority w:val="99"/>
    <w:rsid w:val="00C37F37"/>
    <w:rPr>
      <w:rFonts w:ascii="Arial" w:eastAsia="Calibri" w:hAnsi="Arial" w:cs="Times New Roman"/>
      <w:b/>
      <w:bCs/>
      <w:sz w:val="26"/>
      <w:szCs w:val="26"/>
      <w:lang w:val="x-none"/>
    </w:rPr>
  </w:style>
  <w:style w:type="character" w:customStyle="1" w:styleId="40">
    <w:name w:val="Заголовок 4 Знак"/>
    <w:basedOn w:val="a0"/>
    <w:link w:val="4"/>
    <w:uiPriority w:val="99"/>
    <w:rsid w:val="00C37F37"/>
    <w:rPr>
      <w:rFonts w:ascii="Calibri" w:eastAsia="Calibri" w:hAnsi="Calibri" w:cs="Times New Roman"/>
      <w:b/>
      <w:bCs/>
      <w:sz w:val="28"/>
      <w:szCs w:val="28"/>
      <w:lang w:val="hu-HU"/>
    </w:rPr>
  </w:style>
  <w:style w:type="character" w:customStyle="1" w:styleId="50">
    <w:name w:val="Заголовок 5 Знак"/>
    <w:basedOn w:val="a0"/>
    <w:link w:val="5"/>
    <w:uiPriority w:val="99"/>
    <w:rsid w:val="00C37F37"/>
    <w:rPr>
      <w:rFonts w:ascii="Calibri" w:eastAsia="Calibri" w:hAnsi="Calibri" w:cs="Times New Roman"/>
      <w:b/>
      <w:bCs/>
      <w:i/>
      <w:iCs/>
      <w:sz w:val="26"/>
      <w:szCs w:val="26"/>
      <w:lang w:val="hu-HU"/>
    </w:rPr>
  </w:style>
  <w:style w:type="character" w:customStyle="1" w:styleId="60">
    <w:name w:val="Заголовок 6 Знак"/>
    <w:basedOn w:val="a0"/>
    <w:link w:val="6"/>
    <w:uiPriority w:val="99"/>
    <w:rsid w:val="00C37F37"/>
    <w:rPr>
      <w:rFonts w:ascii="Calibri" w:eastAsia="Calibri" w:hAnsi="Calibri" w:cs="Times New Roman"/>
      <w:b/>
      <w:bCs/>
      <w:lang w:val="hu-HU"/>
    </w:rPr>
  </w:style>
  <w:style w:type="character" w:customStyle="1" w:styleId="70">
    <w:name w:val="Заголовок 7 Знак"/>
    <w:basedOn w:val="a0"/>
    <w:link w:val="7"/>
    <w:uiPriority w:val="99"/>
    <w:rsid w:val="00C37F37"/>
    <w:rPr>
      <w:rFonts w:ascii="Calibri" w:eastAsia="Calibri" w:hAnsi="Calibri" w:cs="Times New Roman"/>
      <w:sz w:val="24"/>
      <w:szCs w:val="24"/>
      <w:lang w:val="hu-HU"/>
    </w:rPr>
  </w:style>
  <w:style w:type="character" w:customStyle="1" w:styleId="80">
    <w:name w:val="Заголовок 8 Знак"/>
    <w:basedOn w:val="a0"/>
    <w:link w:val="8"/>
    <w:uiPriority w:val="99"/>
    <w:rsid w:val="00C37F37"/>
    <w:rPr>
      <w:rFonts w:ascii="Calibri" w:eastAsia="Calibri" w:hAnsi="Calibri" w:cs="Times New Roman"/>
      <w:i/>
      <w:iCs/>
      <w:sz w:val="24"/>
      <w:szCs w:val="24"/>
      <w:lang w:val="hu-HU"/>
    </w:rPr>
  </w:style>
  <w:style w:type="character" w:customStyle="1" w:styleId="90">
    <w:name w:val="Заголовок 9 Знак"/>
    <w:basedOn w:val="a0"/>
    <w:link w:val="9"/>
    <w:uiPriority w:val="99"/>
    <w:rsid w:val="00C37F37"/>
    <w:rPr>
      <w:rFonts w:ascii="Arial" w:eastAsia="Calibri" w:hAnsi="Arial" w:cs="Times New Roman"/>
      <w:lang w:val="hu-HU"/>
    </w:rPr>
  </w:style>
  <w:style w:type="numbering" w:customStyle="1" w:styleId="NoList1">
    <w:name w:val="No List1"/>
    <w:next w:val="a2"/>
    <w:uiPriority w:val="99"/>
    <w:semiHidden/>
    <w:unhideWhenUsed/>
    <w:rsid w:val="00C37F37"/>
  </w:style>
  <w:style w:type="paragraph" w:customStyle="1" w:styleId="Nincstrkz1">
    <w:name w:val="Nincs térköz1"/>
    <w:uiPriority w:val="1"/>
    <w:qFormat/>
    <w:rsid w:val="00C37F37"/>
    <w:pPr>
      <w:spacing w:after="0" w:line="240" w:lineRule="auto"/>
    </w:pPr>
    <w:rPr>
      <w:rFonts w:ascii="Calibri" w:eastAsia="Calibri" w:hAnsi="Calibri" w:cs="Times New Roman"/>
      <w:lang w:val="hu-HU"/>
    </w:rPr>
  </w:style>
  <w:style w:type="paragraph" w:customStyle="1" w:styleId="Default">
    <w:name w:val="Default"/>
    <w:rsid w:val="00C37F37"/>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af5">
    <w:name w:val="Strong"/>
    <w:basedOn w:val="a0"/>
    <w:uiPriority w:val="22"/>
    <w:qFormat/>
    <w:rsid w:val="00C37F37"/>
    <w:rPr>
      <w:b/>
      <w:bCs/>
    </w:rPr>
  </w:style>
  <w:style w:type="character" w:customStyle="1" w:styleId="apple-converted-space">
    <w:name w:val="apple-converted-space"/>
    <w:basedOn w:val="a0"/>
    <w:rsid w:val="00C37F37"/>
  </w:style>
  <w:style w:type="paragraph" w:styleId="af6">
    <w:name w:val="Normal (Web)"/>
    <w:basedOn w:val="a"/>
    <w:uiPriority w:val="99"/>
    <w:unhideWhenUsed/>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customStyle="1" w:styleId="TableGrid3">
    <w:name w:val="Table Grid3"/>
    <w:basedOn w:val="a1"/>
    <w:next w:val="ac"/>
    <w:uiPriority w:val="59"/>
    <w:rsid w:val="00C37F3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C37F37"/>
    <w:rPr>
      <w:i/>
      <w:iCs/>
    </w:rPr>
  </w:style>
  <w:style w:type="paragraph" w:customStyle="1" w:styleId="search-snippet">
    <w:name w:val="search-snippet"/>
    <w:basedOn w:val="a"/>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earch-info">
    <w:name w:val="search-info"/>
    <w:basedOn w:val="a"/>
    <w:rsid w:val="00C37F3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username">
    <w:name w:val="username"/>
    <w:basedOn w:val="a0"/>
    <w:rsid w:val="00C37F37"/>
  </w:style>
  <w:style w:type="character" w:styleId="af8">
    <w:name w:val="FollowedHyperlink"/>
    <w:basedOn w:val="a0"/>
    <w:uiPriority w:val="99"/>
    <w:semiHidden/>
    <w:unhideWhenUsed/>
    <w:rsid w:val="00C37F37"/>
    <w:rPr>
      <w:color w:val="800080" w:themeColor="followedHyperlink"/>
      <w:u w:val="single"/>
    </w:rPr>
  </w:style>
  <w:style w:type="paragraph" w:styleId="af9">
    <w:name w:val="Title"/>
    <w:basedOn w:val="a"/>
    <w:link w:val="afa"/>
    <w:uiPriority w:val="10"/>
    <w:rsid w:val="00C37F37"/>
    <w:pPr>
      <w:spacing w:before="240" w:after="240" w:line="240" w:lineRule="auto"/>
      <w:ind w:right="2268"/>
    </w:pPr>
    <w:rPr>
      <w:rFonts w:ascii="Times New Roman" w:eastAsia="Times New Roman" w:hAnsi="Times New Roman" w:cs="Times New Roman"/>
      <w:b/>
      <w:bCs/>
      <w:sz w:val="28"/>
      <w:szCs w:val="28"/>
      <w:lang w:val="ru-RU" w:eastAsia="ru-RU"/>
    </w:rPr>
  </w:style>
  <w:style w:type="character" w:customStyle="1" w:styleId="afa">
    <w:name w:val="Название Знак"/>
    <w:basedOn w:val="a0"/>
    <w:link w:val="af9"/>
    <w:uiPriority w:val="10"/>
    <w:rsid w:val="00C37F37"/>
    <w:rPr>
      <w:rFonts w:ascii="Times New Roman" w:eastAsia="Times New Roman" w:hAnsi="Times New Roman" w:cs="Times New Roman"/>
      <w:b/>
      <w:bCs/>
      <w:sz w:val="28"/>
      <w:szCs w:val="28"/>
      <w:lang w:val="ru-RU" w:eastAsia="ru-RU"/>
    </w:rPr>
  </w:style>
  <w:style w:type="paragraph" w:customStyle="1" w:styleId="newncpi">
    <w:name w:val="newncpi"/>
    <w:basedOn w:val="a"/>
    <w:rsid w:val="00C37F37"/>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newncpi0">
    <w:name w:val="newncpi0"/>
    <w:basedOn w:val="a"/>
    <w:rsid w:val="00C37F37"/>
    <w:pPr>
      <w:spacing w:after="0" w:line="240" w:lineRule="auto"/>
      <w:jc w:val="both"/>
    </w:pPr>
    <w:rPr>
      <w:rFonts w:ascii="Times New Roman" w:eastAsiaTheme="minorEastAsia" w:hAnsi="Times New Roman" w:cs="Times New Roman"/>
      <w:sz w:val="24"/>
      <w:szCs w:val="24"/>
      <w:lang w:val="ru-RU" w:eastAsia="ru-RU"/>
    </w:rPr>
  </w:style>
  <w:style w:type="character" w:customStyle="1" w:styleId="name">
    <w:name w:val="name"/>
    <w:basedOn w:val="a0"/>
    <w:rsid w:val="00C37F37"/>
    <w:rPr>
      <w:rFonts w:ascii="Times New Roman" w:hAnsi="Times New Roman" w:cs="Times New Roman"/>
      <w:caps/>
    </w:rPr>
  </w:style>
  <w:style w:type="character" w:customStyle="1" w:styleId="promulgator">
    <w:name w:val="promulgator"/>
    <w:basedOn w:val="a0"/>
    <w:rsid w:val="00C37F37"/>
    <w:rPr>
      <w:rFonts w:ascii="Times New Roman" w:hAnsi="Times New Roman" w:cs="Times New Roman"/>
      <w:caps/>
    </w:rPr>
  </w:style>
  <w:style w:type="character" w:customStyle="1" w:styleId="datepr">
    <w:name w:val="datepr"/>
    <w:basedOn w:val="a0"/>
    <w:rsid w:val="00C37F37"/>
    <w:rPr>
      <w:rFonts w:ascii="Times New Roman" w:hAnsi="Times New Roman" w:cs="Times New Roman"/>
    </w:rPr>
  </w:style>
  <w:style w:type="character" w:customStyle="1" w:styleId="number">
    <w:name w:val="number"/>
    <w:basedOn w:val="a0"/>
    <w:rsid w:val="00C37F37"/>
    <w:rPr>
      <w:rFonts w:ascii="Times New Roman" w:hAnsi="Times New Roman" w:cs="Times New Roman"/>
    </w:rPr>
  </w:style>
  <w:style w:type="character" w:customStyle="1" w:styleId="ae">
    <w:name w:val="Абзац списка Знак"/>
    <w:basedOn w:val="a0"/>
    <w:link w:val="ad"/>
    <w:uiPriority w:val="34"/>
    <w:rsid w:val="00C37F37"/>
  </w:style>
  <w:style w:type="character" w:customStyle="1" w:styleId="apple-style-span">
    <w:name w:val="apple-style-span"/>
    <w:rsid w:val="00C37F37"/>
    <w:rPr>
      <w:rFonts w:cs="Times New Roman"/>
    </w:rPr>
  </w:style>
  <w:style w:type="character" w:customStyle="1" w:styleId="LbjegyzetszvegChar">
    <w:name w:val="Lábjegyzetszöveg Char"/>
    <w:basedOn w:val="a0"/>
    <w:rsid w:val="00C37F37"/>
  </w:style>
  <w:style w:type="character" w:customStyle="1" w:styleId="reference-text">
    <w:name w:val="reference-text"/>
    <w:basedOn w:val="a0"/>
    <w:rsid w:val="00C37F37"/>
  </w:style>
  <w:style w:type="paragraph" w:styleId="afb">
    <w:name w:val="TOC Heading"/>
    <w:basedOn w:val="1"/>
    <w:next w:val="a"/>
    <w:uiPriority w:val="39"/>
    <w:unhideWhenUsed/>
    <w:qFormat/>
    <w:rsid w:val="00C37F3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eastAsia="hu-HU"/>
    </w:rPr>
  </w:style>
  <w:style w:type="paragraph" w:styleId="11">
    <w:name w:val="toc 1"/>
    <w:basedOn w:val="a"/>
    <w:next w:val="a"/>
    <w:autoRedefine/>
    <w:uiPriority w:val="39"/>
    <w:unhideWhenUsed/>
    <w:qFormat/>
    <w:rsid w:val="00AC47E3"/>
    <w:pPr>
      <w:tabs>
        <w:tab w:val="left" w:pos="1600"/>
        <w:tab w:val="right" w:leader="dot" w:pos="9016"/>
      </w:tabs>
      <w:spacing w:after="0"/>
      <w:jc w:val="both"/>
    </w:pPr>
    <w:rPr>
      <w:rFonts w:asciiTheme="majorHAnsi" w:hAnsiTheme="majorHAnsi"/>
      <w:b/>
      <w:bCs/>
      <w:caps/>
      <w:sz w:val="24"/>
      <w:szCs w:val="24"/>
    </w:rPr>
  </w:style>
  <w:style w:type="paragraph" w:styleId="21">
    <w:name w:val="toc 2"/>
    <w:basedOn w:val="a"/>
    <w:next w:val="a"/>
    <w:autoRedefine/>
    <w:uiPriority w:val="39"/>
    <w:unhideWhenUsed/>
    <w:qFormat/>
    <w:rsid w:val="00C37F37"/>
    <w:pPr>
      <w:spacing w:before="240" w:after="0"/>
    </w:pPr>
    <w:rPr>
      <w:rFonts w:cstheme="minorHAnsi"/>
      <w:b/>
      <w:bCs/>
      <w:sz w:val="20"/>
      <w:szCs w:val="20"/>
    </w:rPr>
  </w:style>
  <w:style w:type="paragraph" w:styleId="31">
    <w:name w:val="toc 3"/>
    <w:basedOn w:val="a"/>
    <w:next w:val="a"/>
    <w:autoRedefine/>
    <w:uiPriority w:val="39"/>
    <w:unhideWhenUsed/>
    <w:qFormat/>
    <w:rsid w:val="00C37F37"/>
    <w:pPr>
      <w:spacing w:after="0"/>
      <w:ind w:left="220"/>
    </w:pPr>
    <w:rPr>
      <w:rFonts w:cstheme="minorHAnsi"/>
      <w:sz w:val="20"/>
      <w:szCs w:val="20"/>
    </w:rPr>
  </w:style>
  <w:style w:type="paragraph" w:customStyle="1" w:styleId="ConsPlusNormal">
    <w:name w:val="ConsPlusNormal"/>
    <w:rsid w:val="00C37F37"/>
    <w:pPr>
      <w:autoSpaceDE w:val="0"/>
      <w:autoSpaceDN w:val="0"/>
      <w:adjustRightInd w:val="0"/>
      <w:spacing w:after="0" w:line="240" w:lineRule="auto"/>
    </w:pPr>
    <w:rPr>
      <w:rFonts w:ascii="Times New Roman" w:hAnsi="Times New Roman" w:cs="Times New Roman"/>
      <w:b/>
      <w:bCs/>
      <w:i/>
      <w:iCs/>
      <w:sz w:val="30"/>
      <w:szCs w:val="30"/>
      <w:lang w:val="ru-RU"/>
    </w:rPr>
  </w:style>
  <w:style w:type="table" w:customStyle="1" w:styleId="GridTable1Light12">
    <w:name w:val="Grid Table 1 Light12"/>
    <w:basedOn w:val="a1"/>
    <w:uiPriority w:val="46"/>
    <w:rsid w:val="00C37F37"/>
    <w:pPr>
      <w:spacing w:after="0" w:line="240" w:lineRule="auto"/>
    </w:pPr>
    <w:rPr>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c">
    <w:name w:val="Light Shading"/>
    <w:basedOn w:val="a1"/>
    <w:uiPriority w:val="60"/>
    <w:rsid w:val="00C37F37"/>
    <w:pPr>
      <w:spacing w:after="0" w:line="240" w:lineRule="auto"/>
    </w:pPr>
    <w:rPr>
      <w:color w:val="000000" w:themeColor="text1" w:themeShade="BF"/>
      <w:lang w:val="hu-H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
    <w:link w:val="HTML0"/>
    <w:uiPriority w:val="99"/>
    <w:semiHidden/>
    <w:unhideWhenUsed/>
    <w:rsid w:val="00C3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0">
    <w:name w:val="Стандартный HTML Знак"/>
    <w:basedOn w:val="a0"/>
    <w:link w:val="HTML"/>
    <w:uiPriority w:val="99"/>
    <w:semiHidden/>
    <w:rsid w:val="00C37F37"/>
    <w:rPr>
      <w:rFonts w:ascii="Courier New" w:eastAsia="Times New Roman" w:hAnsi="Courier New" w:cs="Courier New"/>
      <w:sz w:val="20"/>
      <w:szCs w:val="20"/>
      <w:lang w:val="hu-HU" w:eastAsia="hu-HU"/>
    </w:rPr>
  </w:style>
  <w:style w:type="paragraph" w:styleId="afd">
    <w:name w:val="No Spacing"/>
    <w:uiPriority w:val="1"/>
    <w:qFormat/>
    <w:rsid w:val="00C37F37"/>
    <w:pPr>
      <w:widowControl w:val="0"/>
      <w:spacing w:after="0" w:line="360" w:lineRule="exact"/>
      <w:ind w:firstLine="709"/>
      <w:jc w:val="both"/>
    </w:pPr>
    <w:rPr>
      <w:rFonts w:ascii="Times New Roman" w:eastAsia="Times New Roman" w:hAnsi="Times New Roman" w:cs="Times New Roman"/>
      <w:sz w:val="26"/>
      <w:szCs w:val="20"/>
      <w:lang w:val="ru-RU" w:eastAsia="ru-RU"/>
    </w:rPr>
  </w:style>
  <w:style w:type="paragraph" w:styleId="afe">
    <w:name w:val="endnote text"/>
    <w:basedOn w:val="a"/>
    <w:link w:val="aff"/>
    <w:uiPriority w:val="99"/>
    <w:semiHidden/>
    <w:unhideWhenUsed/>
    <w:rsid w:val="00C37F37"/>
    <w:pPr>
      <w:spacing w:after="0" w:line="240" w:lineRule="auto"/>
    </w:pPr>
    <w:rPr>
      <w:rFonts w:ascii="Cambria" w:hAnsi="Cambria" w:cs="Times New Roman"/>
      <w:sz w:val="20"/>
      <w:szCs w:val="20"/>
      <w:lang w:val="el-GR"/>
    </w:rPr>
  </w:style>
  <w:style w:type="character" w:customStyle="1" w:styleId="aff">
    <w:name w:val="Текст концевой сноски Знак"/>
    <w:basedOn w:val="a0"/>
    <w:link w:val="afe"/>
    <w:uiPriority w:val="99"/>
    <w:semiHidden/>
    <w:rsid w:val="00C37F37"/>
    <w:rPr>
      <w:rFonts w:ascii="Cambria" w:hAnsi="Cambria" w:cs="Times New Roman"/>
      <w:sz w:val="20"/>
      <w:szCs w:val="20"/>
      <w:lang w:val="el-GR"/>
    </w:rPr>
  </w:style>
  <w:style w:type="character" w:styleId="aff0">
    <w:name w:val="endnote reference"/>
    <w:basedOn w:val="a0"/>
    <w:uiPriority w:val="99"/>
    <w:semiHidden/>
    <w:unhideWhenUsed/>
    <w:rsid w:val="00C37F37"/>
    <w:rPr>
      <w:vertAlign w:val="superscript"/>
    </w:rPr>
  </w:style>
  <w:style w:type="character" w:customStyle="1" w:styleId="ftdotcom">
    <w:name w:val="ftdotcom"/>
    <w:basedOn w:val="a0"/>
    <w:rsid w:val="00C37F37"/>
  </w:style>
  <w:style w:type="paragraph" w:styleId="aff1">
    <w:name w:val="Subtitle"/>
    <w:basedOn w:val="a"/>
    <w:next w:val="a"/>
    <w:link w:val="aff2"/>
    <w:uiPriority w:val="11"/>
    <w:qFormat/>
    <w:rsid w:val="00C37F37"/>
    <w:pPr>
      <w:numPr>
        <w:ilvl w:val="1"/>
      </w:numPr>
      <w:spacing w:after="0" w:line="240" w:lineRule="auto"/>
    </w:pPr>
    <w:rPr>
      <w:rFonts w:asciiTheme="majorHAnsi" w:eastAsiaTheme="majorEastAsia" w:hAnsiTheme="majorHAnsi" w:cstheme="majorBidi"/>
      <w:i/>
      <w:iCs/>
      <w:color w:val="4F81BD" w:themeColor="accent1"/>
      <w:spacing w:val="15"/>
      <w:sz w:val="24"/>
      <w:szCs w:val="24"/>
      <w:lang w:val="el-GR"/>
    </w:rPr>
  </w:style>
  <w:style w:type="character" w:customStyle="1" w:styleId="aff2">
    <w:name w:val="Подзаголовок Знак"/>
    <w:basedOn w:val="a0"/>
    <w:link w:val="aff1"/>
    <w:uiPriority w:val="11"/>
    <w:rsid w:val="00C37F37"/>
    <w:rPr>
      <w:rFonts w:asciiTheme="majorHAnsi" w:eastAsiaTheme="majorEastAsia" w:hAnsiTheme="majorHAnsi" w:cstheme="majorBidi"/>
      <w:i/>
      <w:iCs/>
      <w:color w:val="4F81BD" w:themeColor="accent1"/>
      <w:spacing w:val="15"/>
      <w:sz w:val="24"/>
      <w:szCs w:val="24"/>
      <w:lang w:val="el-GR"/>
    </w:rPr>
  </w:style>
  <w:style w:type="character" w:styleId="aff3">
    <w:name w:val="Subtle Emphasis"/>
    <w:basedOn w:val="a0"/>
    <w:uiPriority w:val="19"/>
    <w:qFormat/>
    <w:rsid w:val="00C37F37"/>
    <w:rPr>
      <w:i/>
      <w:iCs/>
      <w:color w:val="808080" w:themeColor="text1" w:themeTint="7F"/>
    </w:rPr>
  </w:style>
  <w:style w:type="character" w:styleId="aff4">
    <w:name w:val="Intense Emphasis"/>
    <w:basedOn w:val="a0"/>
    <w:uiPriority w:val="21"/>
    <w:qFormat/>
    <w:rsid w:val="00C37F37"/>
    <w:rPr>
      <w:b/>
      <w:bCs/>
      <w:i/>
      <w:iCs/>
      <w:color w:val="4F81BD" w:themeColor="accent1"/>
    </w:rPr>
  </w:style>
  <w:style w:type="table" w:customStyle="1" w:styleId="TableGrid4">
    <w:name w:val="Table Grid4"/>
    <w:basedOn w:val="a1"/>
    <w:next w:val="ac"/>
    <w:uiPriority w:val="59"/>
    <w:rsid w:val="0084317D"/>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c"/>
    <w:rsid w:val="00297B8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
    <w:name w:val="Literatur"/>
    <w:basedOn w:val="a"/>
    <w:qFormat/>
    <w:rsid w:val="00297B88"/>
    <w:pPr>
      <w:keepLines/>
      <w:spacing w:before="180" w:after="120" w:line="330" w:lineRule="atLeast"/>
      <w:ind w:left="567" w:hanging="567"/>
      <w:jc w:val="both"/>
    </w:pPr>
    <w:rPr>
      <w:rFonts w:ascii="Arial" w:eastAsia="Times New Roman" w:hAnsi="Arial" w:cs="Times New Roman"/>
      <w:lang w:val="de-DE" w:eastAsia="de-DE"/>
    </w:rPr>
  </w:style>
  <w:style w:type="numbering" w:customStyle="1" w:styleId="NoList2">
    <w:name w:val="No List2"/>
    <w:next w:val="a2"/>
    <w:uiPriority w:val="99"/>
    <w:semiHidden/>
    <w:unhideWhenUsed/>
    <w:rsid w:val="00575FE8"/>
  </w:style>
  <w:style w:type="table" w:customStyle="1" w:styleId="TableGrid6">
    <w:name w:val="Table Grid6"/>
    <w:basedOn w:val="a1"/>
    <w:next w:val="ac"/>
    <w:rsid w:val="00575FE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ой текст_"/>
    <w:basedOn w:val="a0"/>
    <w:link w:val="12"/>
    <w:locked/>
    <w:rsid w:val="00575FE8"/>
    <w:rPr>
      <w:sz w:val="29"/>
      <w:szCs w:val="29"/>
      <w:shd w:val="clear" w:color="auto" w:fill="FFFFFF"/>
    </w:rPr>
  </w:style>
  <w:style w:type="paragraph" w:customStyle="1" w:styleId="12">
    <w:name w:val="Основной текст1"/>
    <w:basedOn w:val="a"/>
    <w:link w:val="aff5"/>
    <w:rsid w:val="00575FE8"/>
    <w:pPr>
      <w:widowControl w:val="0"/>
      <w:shd w:val="clear" w:color="auto" w:fill="FFFFFF"/>
      <w:spacing w:after="120" w:line="240" w:lineRule="atLeast"/>
    </w:pPr>
    <w:rPr>
      <w:sz w:val="29"/>
      <w:szCs w:val="29"/>
    </w:rPr>
  </w:style>
  <w:style w:type="paragraph" w:customStyle="1" w:styleId="Quelle">
    <w:name w:val="Quelle"/>
    <w:basedOn w:val="12"/>
    <w:link w:val="QuelleZchn"/>
    <w:qFormat/>
    <w:rsid w:val="00575FE8"/>
    <w:pPr>
      <w:shd w:val="clear" w:color="auto" w:fill="auto"/>
      <w:spacing w:before="120" w:after="0" w:line="240" w:lineRule="auto"/>
      <w:ind w:left="23" w:right="23" w:hanging="23"/>
      <w:jc w:val="both"/>
    </w:pPr>
    <w:rPr>
      <w:rFonts w:ascii="Arial" w:hAnsi="Arial" w:cs="Arial"/>
      <w:sz w:val="20"/>
      <w:szCs w:val="20"/>
      <w:lang w:val="en-US"/>
    </w:rPr>
  </w:style>
  <w:style w:type="character" w:customStyle="1" w:styleId="QuelleZchn">
    <w:name w:val="Quelle Zchn"/>
    <w:basedOn w:val="aff5"/>
    <w:link w:val="Quelle"/>
    <w:rsid w:val="00575FE8"/>
    <w:rPr>
      <w:rFonts w:ascii="Arial" w:hAnsi="Arial" w:cs="Arial"/>
      <w:sz w:val="20"/>
      <w:szCs w:val="20"/>
      <w:shd w:val="clear" w:color="auto" w:fill="FFFFFF"/>
      <w:lang w:val="en-US"/>
    </w:rPr>
  </w:style>
  <w:style w:type="character" w:styleId="aff6">
    <w:name w:val="page number"/>
    <w:basedOn w:val="a0"/>
    <w:rsid w:val="00575FE8"/>
    <w:rPr>
      <w:rFonts w:ascii="Arial" w:hAnsi="Arial"/>
      <w:sz w:val="20"/>
    </w:rPr>
  </w:style>
  <w:style w:type="paragraph" w:customStyle="1" w:styleId="Tabelle">
    <w:name w:val="Tabelle"/>
    <w:basedOn w:val="12"/>
    <w:link w:val="TabelleZchn"/>
    <w:qFormat/>
    <w:rsid w:val="00575FE8"/>
    <w:pPr>
      <w:shd w:val="clear" w:color="auto" w:fill="auto"/>
      <w:spacing w:after="80" w:line="341" w:lineRule="exact"/>
      <w:ind w:left="23" w:right="23" w:hanging="23"/>
      <w:jc w:val="both"/>
    </w:pPr>
    <w:rPr>
      <w:rFonts w:ascii="Arial" w:eastAsiaTheme="minorEastAsia" w:hAnsi="Arial" w:cs="Arial"/>
      <w:lang w:val="en-US" w:eastAsia="de-DE"/>
    </w:rPr>
  </w:style>
  <w:style w:type="character" w:customStyle="1" w:styleId="TabelleZchn">
    <w:name w:val="Tabelle Zchn"/>
    <w:basedOn w:val="aff5"/>
    <w:link w:val="Tabelle"/>
    <w:rsid w:val="00575FE8"/>
    <w:rPr>
      <w:rFonts w:ascii="Arial" w:eastAsiaTheme="minorEastAsia" w:hAnsi="Arial" w:cs="Arial"/>
      <w:sz w:val="29"/>
      <w:szCs w:val="29"/>
      <w:shd w:val="clear" w:color="auto" w:fill="FFFFFF"/>
      <w:lang w:val="en-US" w:eastAsia="de-DE"/>
    </w:rPr>
  </w:style>
  <w:style w:type="paragraph" w:styleId="41">
    <w:name w:val="toc 4"/>
    <w:basedOn w:val="a"/>
    <w:next w:val="a"/>
    <w:autoRedefine/>
    <w:uiPriority w:val="39"/>
    <w:unhideWhenUsed/>
    <w:rsid w:val="008F4A5F"/>
    <w:pPr>
      <w:spacing w:after="0"/>
      <w:ind w:left="440"/>
    </w:pPr>
    <w:rPr>
      <w:rFonts w:cstheme="minorHAnsi"/>
      <w:sz w:val="20"/>
      <w:szCs w:val="20"/>
    </w:rPr>
  </w:style>
  <w:style w:type="paragraph" w:styleId="51">
    <w:name w:val="toc 5"/>
    <w:basedOn w:val="a"/>
    <w:next w:val="a"/>
    <w:autoRedefine/>
    <w:uiPriority w:val="39"/>
    <w:unhideWhenUsed/>
    <w:rsid w:val="008F4A5F"/>
    <w:pPr>
      <w:spacing w:after="0"/>
      <w:ind w:left="660"/>
    </w:pPr>
    <w:rPr>
      <w:rFonts w:cstheme="minorHAnsi"/>
      <w:sz w:val="20"/>
      <w:szCs w:val="20"/>
    </w:rPr>
  </w:style>
  <w:style w:type="paragraph" w:styleId="61">
    <w:name w:val="toc 6"/>
    <w:basedOn w:val="a"/>
    <w:next w:val="a"/>
    <w:autoRedefine/>
    <w:uiPriority w:val="39"/>
    <w:unhideWhenUsed/>
    <w:rsid w:val="008F4A5F"/>
    <w:pPr>
      <w:spacing w:after="0"/>
      <w:ind w:left="880"/>
    </w:pPr>
    <w:rPr>
      <w:rFonts w:cstheme="minorHAnsi"/>
      <w:sz w:val="20"/>
      <w:szCs w:val="20"/>
    </w:rPr>
  </w:style>
  <w:style w:type="paragraph" w:styleId="71">
    <w:name w:val="toc 7"/>
    <w:basedOn w:val="a"/>
    <w:next w:val="a"/>
    <w:autoRedefine/>
    <w:uiPriority w:val="39"/>
    <w:unhideWhenUsed/>
    <w:rsid w:val="008F4A5F"/>
    <w:pPr>
      <w:spacing w:after="0"/>
      <w:ind w:left="1100"/>
    </w:pPr>
    <w:rPr>
      <w:rFonts w:cstheme="minorHAnsi"/>
      <w:sz w:val="20"/>
      <w:szCs w:val="20"/>
    </w:rPr>
  </w:style>
  <w:style w:type="paragraph" w:styleId="81">
    <w:name w:val="toc 8"/>
    <w:basedOn w:val="a"/>
    <w:next w:val="a"/>
    <w:autoRedefine/>
    <w:uiPriority w:val="39"/>
    <w:unhideWhenUsed/>
    <w:rsid w:val="008F4A5F"/>
    <w:pPr>
      <w:spacing w:after="0"/>
      <w:ind w:left="1320"/>
    </w:pPr>
    <w:rPr>
      <w:rFonts w:cstheme="minorHAnsi"/>
      <w:sz w:val="20"/>
      <w:szCs w:val="20"/>
    </w:rPr>
  </w:style>
  <w:style w:type="paragraph" w:styleId="91">
    <w:name w:val="toc 9"/>
    <w:basedOn w:val="a"/>
    <w:next w:val="a"/>
    <w:autoRedefine/>
    <w:uiPriority w:val="39"/>
    <w:unhideWhenUsed/>
    <w:rsid w:val="008F4A5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ictt.by" TargetMode="External"/><Relationship Id="rId1" Type="http://schemas.openxmlformats.org/officeDocument/2006/relationships/hyperlink" Target="http://ictt.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A1AC-E45B-41B5-A8AD-58552C71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26238</Words>
  <Characters>149558</Characters>
  <Application>Microsoft Office Word</Application>
  <DocSecurity>0</DocSecurity>
  <Lines>1246</Lines>
  <Paragraphs>350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175446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Ivanier</dc:creator>
  <cp:lastModifiedBy>Гуринов</cp:lastModifiedBy>
  <cp:revision>2</cp:revision>
  <cp:lastPrinted>2016-08-23T12:28:00Z</cp:lastPrinted>
  <dcterms:created xsi:type="dcterms:W3CDTF">2016-08-24T08:06:00Z</dcterms:created>
  <dcterms:modified xsi:type="dcterms:W3CDTF">2016-08-24T08:06:00Z</dcterms:modified>
</cp:coreProperties>
</file>